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Talking Points</w:t>
      </w:r>
    </w:p>
    <w:p>
      <w:pPr>
        <w:pStyle w:val="Normal"/>
        <w:rPr>
          <w:b/>
          <w:bCs/>
        </w:rPr>
      </w:pPr>
      <w:r>
        <w:rPr>
          <w:b/>
          <w:bCs/>
        </w:rPr>
      </w:r>
    </w:p>
    <w:p>
      <w:pPr>
        <w:pStyle w:val="Normal"/>
        <w:numPr>
          <w:ilvl w:val="0"/>
          <w:numId w:val="1"/>
        </w:numPr>
        <w:spacing w:lineRule="auto" w:line="480"/>
        <w:rPr/>
      </w:pPr>
      <w:r>
        <w:rPr/>
        <w:t>There is an urgent need for FERC action to open power markets.</w:t>
      </w:r>
    </w:p>
    <w:p>
      <w:pPr>
        <w:pStyle w:val="Normal"/>
        <w:numPr>
          <w:ilvl w:val="1"/>
          <w:numId w:val="1"/>
        </w:numPr>
        <w:spacing w:lineRule="auto" w:line="480"/>
        <w:rPr/>
      </w:pPr>
      <w:r>
        <w:rPr/>
        <w:t>Power markets remain largely closed as utilities have found ways, within current rules, to grant themselves preferential access to transmission.</w:t>
      </w:r>
    </w:p>
    <w:p>
      <w:pPr>
        <w:pStyle w:val="Normal"/>
        <w:numPr>
          <w:ilvl w:val="1"/>
          <w:numId w:val="1"/>
        </w:numPr>
        <w:spacing w:lineRule="auto" w:line="480"/>
        <w:rPr/>
      </w:pPr>
      <w:r>
        <w:rPr/>
        <w:t>The failure to open the interstate transmission system has made it more difficult to get power from where it is to where it is needed.  Many utilities have also made it unnecessarily difficult to connect new generation to the grid.  The result is reduced competition in wholesale markets and spiking prices and reliability problems.</w:t>
      </w:r>
    </w:p>
    <w:p>
      <w:pPr>
        <w:pStyle w:val="Normal"/>
        <w:numPr>
          <w:ilvl w:val="1"/>
          <w:numId w:val="1"/>
        </w:numPr>
        <w:spacing w:lineRule="auto" w:line="480"/>
        <w:rPr/>
      </w:pPr>
      <w:r>
        <w:rPr/>
        <w:t>The analogy is Order 636 in the gas business.  Prior to 636 the commission concluded that the transmission service bundled in pipeline sales was superior to the open access transmission service, so the Commission required full unbundling and equality of transmission service.  It’s time for the same remedy in the power sector.</w:t>
      </w:r>
    </w:p>
    <w:p>
      <w:pPr>
        <w:pStyle w:val="Normal"/>
        <w:numPr>
          <w:ilvl w:val="0"/>
          <w:numId w:val="1"/>
        </w:numPr>
        <w:spacing w:lineRule="auto" w:line="480"/>
        <w:rPr/>
      </w:pPr>
      <w:r>
        <w:rPr/>
        <w:t>Utilities are ready for the transition.</w:t>
      </w:r>
    </w:p>
    <w:p>
      <w:pPr>
        <w:pStyle w:val="Normal"/>
        <w:numPr>
          <w:ilvl w:val="1"/>
          <w:numId w:val="1"/>
        </w:numPr>
        <w:spacing w:lineRule="auto" w:line="480"/>
        <w:rPr/>
      </w:pPr>
      <w:r>
        <w:rPr/>
        <w:t>Utilities have had years to get ready for competition.</w:t>
      </w:r>
    </w:p>
    <w:p>
      <w:pPr>
        <w:pStyle w:val="Normal"/>
        <w:numPr>
          <w:ilvl w:val="1"/>
          <w:numId w:val="1"/>
        </w:numPr>
        <w:spacing w:lineRule="auto" w:line="480"/>
        <w:rPr/>
      </w:pPr>
      <w:r>
        <w:rPr/>
        <w:t>Many utilities have become dependent on a more competitive power business  --  either because they have set up competitive businesses of their own or because they have divested generation and now must rely on the marketplace to provide their power.</w:t>
      </w:r>
    </w:p>
    <w:p>
      <w:pPr>
        <w:pStyle w:val="Normal"/>
        <w:numPr>
          <w:ilvl w:val="1"/>
          <w:numId w:val="1"/>
        </w:numPr>
        <w:spacing w:lineRule="auto" w:line="480"/>
        <w:rPr/>
      </w:pPr>
      <w:r>
        <w:rPr/>
        <w:t>Utilities have seen what happened in California and would like to avoid a similar fate.</w:t>
      </w:r>
    </w:p>
    <w:p>
      <w:pPr>
        <w:pStyle w:val="Normal"/>
        <w:numPr>
          <w:ilvl w:val="1"/>
          <w:numId w:val="1"/>
        </w:numPr>
        <w:spacing w:lineRule="auto" w:line="480"/>
        <w:rPr/>
      </w:pPr>
      <w:r>
        <w:rPr/>
        <w:t>[It would also help if you would share some insights about how Enron came to the decision to open its pipelines].</w:t>
      </w:r>
    </w:p>
    <w:p>
      <w:pPr>
        <w:pStyle w:val="Normal"/>
        <w:numPr>
          <w:ilvl w:val="0"/>
          <w:numId w:val="1"/>
        </w:numPr>
        <w:spacing w:lineRule="auto" w:line="480"/>
        <w:rPr/>
      </w:pPr>
      <w:r>
        <w:rPr/>
        <w:t>The environment for FERC action has never been better.</w:t>
      </w:r>
    </w:p>
    <w:p>
      <w:pPr>
        <w:pStyle w:val="Normal"/>
        <w:numPr>
          <w:ilvl w:val="1"/>
          <w:numId w:val="1"/>
        </w:numPr>
        <w:spacing w:lineRule="auto" w:line="480"/>
        <w:rPr/>
      </w:pPr>
      <w:r>
        <w:rPr/>
        <w:t>Utilities are more prepared and FERC has recently had its jurisdiction clarified by the DC Circuit.  The Commission had been concerned that it did not have jurisdiction over the transmission component of retail sales.  The Court made it clear that it would defer to FERC on its jurisdictional findings and strongly hinted that, given the interstate character of the grid, FERC could have gone further in asserting jurisdiction over transmission.</w:t>
      </w:r>
    </w:p>
    <w:p>
      <w:pPr>
        <w:pStyle w:val="Normal"/>
        <w:numPr>
          <w:ilvl w:val="1"/>
          <w:numId w:val="1"/>
        </w:numPr>
        <w:spacing w:lineRule="auto" w:line="480"/>
        <w:rPr/>
      </w:pPr>
      <w:r>
        <w:rPr/>
        <w:t>The California experience has taught the industry that a federal solution is required. (For the first time ever California officials were asking FERC to preempt state law).</w:t>
      </w:r>
    </w:p>
    <w:p>
      <w:pPr>
        <w:pStyle w:val="Normal"/>
        <w:numPr>
          <w:ilvl w:val="0"/>
          <w:numId w:val="1"/>
        </w:numPr>
        <w:spacing w:lineRule="auto" w:line="480"/>
        <w:rPr/>
      </w:pPr>
      <w:r>
        <w:rPr/>
        <w:t>FERC’s action plan should include:</w:t>
      </w:r>
    </w:p>
    <w:p>
      <w:pPr>
        <w:pStyle w:val="Normal"/>
        <w:numPr>
          <w:ilvl w:val="1"/>
          <w:numId w:val="1"/>
        </w:numPr>
        <w:spacing w:lineRule="auto" w:line="480"/>
        <w:rPr/>
      </w:pPr>
      <w:r>
        <w:rPr/>
        <w:t>Unbundling all transmission service, including the transmission bundled into retail sales.</w:t>
      </w:r>
    </w:p>
    <w:p>
      <w:pPr>
        <w:pStyle w:val="Normal"/>
        <w:numPr>
          <w:ilvl w:val="1"/>
          <w:numId w:val="1"/>
        </w:numPr>
        <w:spacing w:lineRule="auto" w:line="480"/>
        <w:rPr/>
      </w:pPr>
      <w:r>
        <w:rPr/>
        <w:t>All transmission should be provided on a nondiscriminatory basis to all users of the system.</w:t>
      </w:r>
    </w:p>
    <w:p>
      <w:pPr>
        <w:pStyle w:val="Normal"/>
        <w:numPr>
          <w:ilvl w:val="1"/>
          <w:numId w:val="1"/>
        </w:numPr>
        <w:spacing w:lineRule="auto" w:line="480"/>
        <w:rPr/>
      </w:pPr>
      <w:r>
        <w:rPr/>
        <w:t>The commission should adopt standardized interconnection terms with real deadlines.</w:t>
      </w:r>
    </w:p>
    <w:p>
      <w:pPr>
        <w:pStyle w:val="Normal"/>
        <w:numPr>
          <w:ilvl w:val="1"/>
          <w:numId w:val="1"/>
        </w:numPr>
        <w:spacing w:lineRule="auto" w:line="480"/>
        <w:rPr/>
      </w:pPr>
      <w:r>
        <w:rPr/>
        <w:t>The Commission should avoid mandatory centralized markets.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2000-09-22T13:35:00Z</dcterms:created>
  <dc:creator>skean</dc:creator>
  <dc:description/>
  <dc:language>en-CA</dc:language>
  <cp:lastModifiedBy>skean</cp:lastModifiedBy>
  <dcterms:modified xsi:type="dcterms:W3CDTF">2000-09-22T16:59:00Z</dcterms:modified>
  <cp:revision>1</cp:revision>
  <dc:subject/>
  <dc:title>Talking Points</dc:title>
</cp:coreProperties>
</file>