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Talking Points for Ken Lay Discussion </w:t>
      </w:r>
    </w:p>
    <w:p>
      <w:pPr>
        <w:pStyle w:val="Heading"/>
        <w:rPr>
          <w:b/>
        </w:rPr>
      </w:pPr>
      <w:r>
        <w:rPr>
          <w:b/>
        </w:rPr>
        <w:t>with Secretary Richardson</w:t>
      </w:r>
    </w:p>
    <w:p>
      <w:pPr>
        <w:pStyle w:val="Heading"/>
        <w:jc w:val="both"/>
        <w:rPr>
          <w:b/>
        </w:rPr>
      </w:pPr>
      <w:r>
        <w:rPr>
          <w:b/>
        </w:rPr>
      </w:r>
    </w:p>
    <w:p>
      <w:pPr>
        <w:pStyle w:val="Heading"/>
        <w:numPr>
          <w:ilvl w:val="0"/>
          <w:numId w:val="1"/>
        </w:numPr>
        <w:jc w:val="both"/>
        <w:rPr/>
      </w:pPr>
      <w:r>
        <w:rPr/>
        <w:t>Because Congress was unable to pass comprehensive electric restructuring legislation this year, we need to take action to ensure reliability of the interstate transmission grid by having FERC assert jurisdiction over all uses of the transmission system</w:t>
      </w:r>
    </w:p>
    <w:p>
      <w:pPr>
        <w:pStyle w:val="Heading"/>
        <w:jc w:val="both"/>
        <w:rPr/>
      </w:pPr>
      <w:r>
        <w:rPr/>
      </w:r>
    </w:p>
    <w:p>
      <w:pPr>
        <w:pStyle w:val="Heading"/>
        <w:numPr>
          <w:ilvl w:val="0"/>
          <w:numId w:val="1"/>
        </w:numPr>
        <w:tabs>
          <w:tab w:val="clear" w:pos="720"/>
          <w:tab w:val="left" w:pos="1440" w:leader="none"/>
        </w:tabs>
        <w:ind w:hanging="720" w:start="1440" w:end="0"/>
        <w:jc w:val="both"/>
        <w:rPr/>
      </w:pPr>
      <w:r>
        <w:rPr/>
        <w:t>The electric industry is stuck in the transition between a fully regulated market and a competitive market, causing in part the electricity shortages and price spikes we have seen this summer</w:t>
      </w:r>
    </w:p>
    <w:p>
      <w:pPr>
        <w:pStyle w:val="Heading"/>
        <w:jc w:val="both"/>
        <w:rPr/>
      </w:pPr>
      <w:r>
        <w:rPr/>
      </w:r>
    </w:p>
    <w:p>
      <w:pPr>
        <w:pStyle w:val="Heading"/>
        <w:numPr>
          <w:ilvl w:val="0"/>
          <w:numId w:val="1"/>
        </w:numPr>
        <w:jc w:val="both"/>
        <w:rPr/>
      </w:pPr>
      <w:r>
        <w:rPr/>
        <w:t xml:space="preserve">We believe that Secretary Richardson may be able to reach out to FERC Commissioners and urge them to take the necessary steps to ensure transmission grid reliability </w:t>
      </w:r>
    </w:p>
    <w:p>
      <w:pPr>
        <w:pStyle w:val="Heading"/>
        <w:jc w:val="both"/>
        <w:rPr/>
      </w:pPr>
      <w:r>
        <w:rPr/>
      </w:r>
    </w:p>
    <w:p>
      <w:pPr>
        <w:pStyle w:val="Heading"/>
        <w:numPr>
          <w:ilvl w:val="0"/>
          <w:numId w:val="1"/>
        </w:numPr>
        <w:tabs>
          <w:tab w:val="clear" w:pos="720"/>
          <w:tab w:val="left" w:pos="1440" w:leader="none"/>
        </w:tabs>
        <w:ind w:hanging="720" w:start="1440" w:end="0"/>
        <w:jc w:val="both"/>
        <w:rPr/>
      </w:pPr>
      <w:r>
        <w:rPr/>
        <w:t>Specifically, FERC could ensure the reliability of the transmission grid by requiring full unbundling and then exercising its jurisdiction over all transmission, including transmission currently used in bundled retail sales</w:t>
      </w:r>
    </w:p>
    <w:p>
      <w:pPr>
        <w:pStyle w:val="Heading"/>
        <w:jc w:val="both"/>
        <w:rPr/>
      </w:pPr>
      <w:r>
        <w:rPr/>
      </w:r>
    </w:p>
    <w:p>
      <w:pPr>
        <w:pStyle w:val="Heading"/>
        <w:ind w:hanging="720" w:start="720" w:end="0"/>
        <w:jc w:val="both"/>
        <w:rPr/>
      </w:pPr>
      <w:r>
        <w:rPr/>
        <w:t>-</w:t>
        <w:tab/>
        <w:t>Presently, FERC has not asserted jurisdiction over the transmission component of bundled retail sales because FERC believed that the FPA gave this jurisdiction to the states</w:t>
      </w:r>
    </w:p>
    <w:p>
      <w:pPr>
        <w:pStyle w:val="Heading"/>
        <w:jc w:val="both"/>
        <w:rPr/>
      </w:pPr>
      <w:r>
        <w:rPr/>
      </w:r>
    </w:p>
    <w:p>
      <w:pPr>
        <w:pStyle w:val="Heading"/>
        <w:numPr>
          <w:ilvl w:val="0"/>
          <w:numId w:val="1"/>
        </w:numPr>
        <w:tabs>
          <w:tab w:val="clear" w:pos="720"/>
          <w:tab w:val="left" w:pos="1440" w:leader="none"/>
        </w:tabs>
        <w:ind w:hanging="720" w:start="1440" w:end="0"/>
        <w:jc w:val="both"/>
        <w:rPr/>
      </w:pPr>
      <w:r>
        <w:rPr/>
        <w:t>Recently, however, the Court of Appeals for the D.C. Circuit issued an opinion on FERC’s open access order (Order No. 888)</w:t>
      </w:r>
    </w:p>
    <w:p>
      <w:pPr>
        <w:pStyle w:val="Heading"/>
        <w:jc w:val="both"/>
        <w:rPr/>
      </w:pPr>
      <w:r>
        <w:rPr/>
      </w:r>
    </w:p>
    <w:p>
      <w:pPr>
        <w:pStyle w:val="Heading"/>
        <w:numPr>
          <w:ilvl w:val="0"/>
          <w:numId w:val="1"/>
        </w:numPr>
        <w:tabs>
          <w:tab w:val="clear" w:pos="720"/>
          <w:tab w:val="left" w:pos="2160" w:leader="none"/>
        </w:tabs>
        <w:ind w:hanging="720" w:start="2160" w:end="0"/>
        <w:jc w:val="both"/>
        <w:rPr/>
      </w:pPr>
      <w:r>
        <w:rPr/>
        <w:t>The Court upheld FERC’s authority to restructure the electric transmission system and found that FERC’s jurisdiction extends to all interstate transmission</w:t>
      </w:r>
    </w:p>
    <w:p>
      <w:pPr>
        <w:pStyle w:val="Heading"/>
        <w:ind w:start="1440" w:end="0"/>
        <w:jc w:val="both"/>
        <w:rPr>
          <w:color w:val="000000"/>
        </w:rPr>
      </w:pPr>
      <w:r>
        <w:rPr>
          <w:color w:val="000000"/>
        </w:rPr>
      </w:r>
    </w:p>
    <w:p>
      <w:pPr>
        <w:pStyle w:val="Heading"/>
        <w:numPr>
          <w:ilvl w:val="0"/>
          <w:numId w:val="1"/>
        </w:numPr>
        <w:tabs>
          <w:tab w:val="clear" w:pos="720"/>
          <w:tab w:val="left" w:pos="2160" w:leader="none"/>
        </w:tabs>
        <w:ind w:hanging="720" w:start="2160" w:end="0"/>
        <w:jc w:val="both"/>
        <w:rPr>
          <w:color w:val="000000"/>
        </w:rPr>
      </w:pPr>
      <w:r>
        <w:rPr/>
        <w:t xml:space="preserve">However, with regard to the issue of FERC’s jurisdiction over transmission used for bundled retail sales, the Court found that </w:t>
      </w:r>
      <w:r>
        <w:rPr>
          <w:color w:val="000000"/>
        </w:rPr>
        <w:t xml:space="preserve">choosing to treat bundled transmission as part of a retail sale (subject to state jurisdiction) was a permissible policy choice to which the Court would defer </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This decision is significant because FERC believed that it was legally prohibited from exercising jurisdiction over bundled transmission – the Court clarified that FERC has the discretion to, and is therefore not prohibited from, exercising jurisdiction over bundled retail transmission</w:t>
      </w:r>
    </w:p>
    <w:p>
      <w:pPr>
        <w:pStyle w:val="Heading"/>
        <w:jc w:val="both"/>
        <w:rPr>
          <w:color w:val="000000"/>
        </w:rPr>
      </w:pPr>
      <w:r>
        <w:rPr>
          <w:color w:val="000000"/>
        </w:rPr>
      </w:r>
    </w:p>
    <w:p>
      <w:pPr>
        <w:pStyle w:val="Heading"/>
        <w:numPr>
          <w:ilvl w:val="0"/>
          <w:numId w:val="1"/>
        </w:numPr>
        <w:jc w:val="both"/>
        <w:rPr>
          <w:color w:val="000000"/>
        </w:rPr>
      </w:pPr>
      <w:r>
        <w:rPr>
          <w:color w:val="000000"/>
        </w:rPr>
        <w:t>The Court of Appeals’ decision could now be used by FERC to reexamine its prior position on FERC jurisdiction over bundled transmission</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There are procedural vehicles that FERC could use to readdress the jurisdictional issue immediately (e.g., FERC’s Capacity Reservation Tariff or a pending industry Petition for Rulemaking)</w:t>
      </w:r>
    </w:p>
    <w:p>
      <w:pPr>
        <w:pStyle w:val="Heading"/>
        <w:jc w:val="both"/>
        <w:rPr>
          <w:color w:val="000000"/>
        </w:rPr>
      </w:pPr>
      <w:r>
        <w:rPr>
          <w:color w:val="000000"/>
        </w:rPr>
      </w:r>
    </w:p>
    <w:p>
      <w:pPr>
        <w:pStyle w:val="Heading"/>
        <w:numPr>
          <w:ilvl w:val="0"/>
          <w:numId w:val="1"/>
        </w:numPr>
        <w:jc w:val="both"/>
        <w:rPr>
          <w:color w:val="000000"/>
        </w:rPr>
      </w:pPr>
      <w:r>
        <w:rPr>
          <w:color w:val="000000"/>
        </w:rPr>
        <w:t>Immediate FERC action is necessary because FERC’s current initiatives (Order No. 888 open access requirements and RTO formation) are insufficient to assure system reliability</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Due to FERC’s failure to assert jurisdiction over bundled retail transmission, 80 percent of the interstate grid is not subject to FERC’s open access requirements</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Balkanized state jurisdiction jeopardizes reliability due to parochial state interests</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RTO formation is voluntary – if utilities do not voluntarily join, FERC cannot mandate participation</w:t>
      </w:r>
    </w:p>
    <w:p>
      <w:pPr>
        <w:pStyle w:val="Heading"/>
        <w:jc w:val="both"/>
        <w:rPr>
          <w:color w:val="000000"/>
        </w:rPr>
      </w:pPr>
      <w:r>
        <w:rPr>
          <w:color w:val="000000"/>
        </w:rPr>
      </w:r>
    </w:p>
    <w:p>
      <w:pPr>
        <w:pStyle w:val="Heading"/>
        <w:numPr>
          <w:ilvl w:val="0"/>
          <w:numId w:val="1"/>
        </w:numPr>
        <w:tabs>
          <w:tab w:val="clear" w:pos="720"/>
          <w:tab w:val="left" w:pos="1440" w:leader="none"/>
        </w:tabs>
        <w:ind w:hanging="720" w:start="1440" w:end="0"/>
        <w:jc w:val="both"/>
        <w:rPr>
          <w:color w:val="000000"/>
        </w:rPr>
      </w:pPr>
      <w:r>
        <w:rPr>
          <w:color w:val="000000"/>
        </w:rPr>
        <w:t xml:space="preserve">RTO formation does not ensure retail unbundling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720"/>
      </w:pPr>
      <w:rPr>
        <w:rFonts w:ascii="Liberation Serif" w:hAnsi="Liberation Serif" w:cs="Liberation Serif"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2000-08-03T15:57:00Z</dcterms:created>
  <dc:creator>snovose</dc:creator>
  <dc:description/>
  <dc:language>en-CA</dc:language>
  <cp:lastModifiedBy>snovose</cp:lastModifiedBy>
  <cp:lastPrinted>2000-08-04T17:12:00Z</cp:lastPrinted>
  <dcterms:modified xsi:type="dcterms:W3CDTF">2000-08-07T13:20:00Z</dcterms:modified>
  <cp:revision>3</cp:revision>
  <dc:subject/>
  <dc:title>Talking Points for Ken Lay Discussion </dc:title>
</cp:coreProperties>
</file>