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Survey of the Law of Taiwan Regarding Commodities Trading </w:t>
      </w:r>
    </w:p>
    <w:p>
      <w:pPr>
        <w:pStyle w:val="Normal"/>
        <w:jc w:val="center"/>
        <w:rPr>
          <w:b/>
          <w:bCs/>
        </w:rPr>
      </w:pPr>
      <w:r>
        <w:rPr>
          <w:b/>
          <w:bCs/>
        </w:rPr>
      </w:r>
    </w:p>
    <w:p>
      <w:pPr>
        <w:pStyle w:val="Heading4"/>
        <w:numPr>
          <w:ilvl w:val="0"/>
          <w:numId w:val="6"/>
        </w:numPr>
        <w:rPr/>
      </w:pPr>
      <w:r>
        <w:rPr/>
        <w:t>GENERAL ISSUES</w:t>
      </w:r>
    </w:p>
    <w:p>
      <w:pPr>
        <w:pStyle w:val="Normal"/>
        <w:rPr>
          <w:b/>
          <w:bCs/>
        </w:rPr>
      </w:pPr>
      <w:r>
        <w:rPr>
          <w:b/>
          <w:bCs/>
        </w:rPr>
      </w:r>
    </w:p>
    <w:p>
      <w:pPr>
        <w:pStyle w:val="Normal"/>
        <w:numPr>
          <w:ilvl w:val="1"/>
          <w:numId w:val="6"/>
        </w:numPr>
        <w:tabs>
          <w:tab w:val="clear" w:pos="560"/>
        </w:tabs>
        <w:ind w:hanging="1044" w:start="1044" w:end="0"/>
        <w:rPr>
          <w:b/>
          <w:bCs/>
        </w:rPr>
      </w:pPr>
      <w:r>
        <w:rPr>
          <w:b/>
          <w:bCs/>
        </w:rPr>
        <w:t>CAPACITY</w:t>
      </w:r>
    </w:p>
    <w:p>
      <w:pPr>
        <w:pStyle w:val="Normal"/>
        <w:ind w:start="480" w:end="0"/>
        <w:rPr>
          <w:b/>
          <w:bCs/>
        </w:rPr>
      </w:pPr>
      <w:r>
        <w:rPr>
          <w:b/>
          <w:bCs/>
        </w:rPr>
      </w:r>
    </w:p>
    <w:p>
      <w:pPr>
        <w:pStyle w:val="2"/>
        <w:rPr/>
      </w:pPr>
      <w:r>
        <w:rPr/>
        <w:t>1(a)</w:t>
        <w:tab/>
        <w:t>There are no limitations under the law on the capacity of (i) trading corporate, (ii) banks, (iii) insurance companies, (iv) government authorities or (v) state-owned entities from entering into Physical Trades or Derivatives that could lead to such contracts becoming void or unenforceable.</w:t>
      </w:r>
    </w:p>
    <w:p>
      <w:pPr>
        <w:pStyle w:val="Normal"/>
        <w:rPr/>
      </w:pPr>
      <w:r>
        <w:rPr/>
      </w:r>
    </w:p>
    <w:p>
      <w:pPr>
        <w:pStyle w:val="Normal"/>
        <w:ind w:hanging="720" w:start="720" w:end="0"/>
        <w:rPr/>
      </w:pPr>
      <w:r>
        <w:rPr/>
        <w:t>1(b)</w:t>
        <w:tab/>
        <w:t xml:space="preserve">A </w:t>
      </w:r>
      <w:r>
        <w:rPr>
          <w:u w:val="single"/>
        </w:rPr>
        <w:t>bona</w:t>
      </w:r>
      <w:r>
        <w:rPr/>
        <w:t xml:space="preserve"> </w:t>
      </w:r>
      <w:r>
        <w:rPr>
          <w:u w:val="single"/>
        </w:rPr>
        <w:t>fide</w:t>
      </w:r>
      <w:r>
        <w:rPr/>
        <w:t xml:space="preserve"> third party having no knowledge of the limitations on the capacity of Local Counterparty can claim that the transaction is valid and binding upon the Local Counterparty even if there is such limitation. </w:t>
      </w:r>
    </w:p>
    <w:p>
      <w:pPr>
        <w:pStyle w:val="Normal"/>
        <w:ind w:hanging="720" w:start="720" w:end="0"/>
        <w:rPr/>
      </w:pPr>
      <w:r>
        <w:rPr/>
        <w:tab/>
      </w:r>
    </w:p>
    <w:p>
      <w:pPr>
        <w:pStyle w:val="Normal"/>
        <w:numPr>
          <w:ilvl w:val="0"/>
          <w:numId w:val="5"/>
        </w:numPr>
        <w:tabs>
          <w:tab w:val="clear" w:pos="560"/>
          <w:tab w:val="left" w:pos="564" w:leader="none"/>
        </w:tabs>
        <w:rPr>
          <w:b/>
          <w:sz w:val="26"/>
        </w:rPr>
      </w:pPr>
      <w:r>
        <w:rPr>
          <w:b/>
          <w:sz w:val="26"/>
        </w:rPr>
        <w:t>AUTHORITY</w:t>
      </w:r>
    </w:p>
    <w:p>
      <w:pPr>
        <w:pStyle w:val="Normal"/>
        <w:numPr>
          <w:ilvl w:val="0"/>
          <w:numId w:val="0"/>
        </w:numPr>
        <w:ind w:hanging="0" w:start="0"/>
        <w:rPr>
          <w:b/>
          <w:sz w:val="26"/>
        </w:rPr>
      </w:pPr>
      <w:r>
        <w:rPr>
          <w:b/>
          <w:sz w:val="26"/>
        </w:rPr>
      </w:r>
    </w:p>
    <w:p>
      <w:pPr>
        <w:pStyle w:val="BodyText"/>
        <w:numPr>
          <w:ilvl w:val="0"/>
          <w:numId w:val="0"/>
        </w:numPr>
        <w:ind w:hanging="0" w:start="0"/>
        <w:rPr/>
      </w:pPr>
      <w:r>
        <w:rPr/>
        <w:t>It is prudent and advisable to ask the Local Counterparty to produce a certified copy of its board meeting minutes in which the execution of Master Agreement and the entry into derivative transactions are approved.  In addition, a power of attorney from the chairman and the incumbency certificate certifying the specimen signatures has better be obtained from the Local Counterparty.  In practice, financial institutions are reluctant to produce its board meeting minutes.  Instead, they will provide their Authorized Signatures Book in which the authority of authorized signatories are set forth.  When dealing with a financial institution, Enron may rely on such Authorized Signatures Book to replace the board meeting minutes.</w:t>
      </w:r>
    </w:p>
    <w:p>
      <w:pPr>
        <w:pStyle w:val="Normal"/>
        <w:rPr/>
      </w:pPr>
      <w:r>
        <w:rPr/>
      </w:r>
    </w:p>
    <w:p>
      <w:pPr>
        <w:pStyle w:val="Normal"/>
        <w:rPr/>
      </w:pPr>
      <w:r>
        <w:rPr/>
        <w:t>Listed companies and banks are required to establish their own internal derivatives policy which must be approved by their board of directors.  It is advisable for Enron to review such policy in advance before the entry into a derivative transaction with a Local Counterparty which is a listed company or a bank.</w:t>
      </w:r>
    </w:p>
    <w:p>
      <w:pPr>
        <w:pStyle w:val="Normal"/>
        <w:rPr/>
      </w:pPr>
      <w:r>
        <w:rPr/>
      </w:r>
    </w:p>
    <w:p>
      <w:pPr>
        <w:pStyle w:val="Normal"/>
        <w:numPr>
          <w:ilvl w:val="0"/>
          <w:numId w:val="5"/>
        </w:numPr>
        <w:tabs>
          <w:tab w:val="clear" w:pos="560"/>
          <w:tab w:val="left" w:pos="564" w:leader="none"/>
        </w:tabs>
        <w:rPr>
          <w:b/>
          <w:sz w:val="26"/>
        </w:rPr>
      </w:pPr>
      <w:r>
        <w:rPr>
          <w:b/>
          <w:sz w:val="26"/>
        </w:rPr>
        <w:t xml:space="preserve">CONSENTS OR APPROVALS </w:t>
      </w:r>
    </w:p>
    <w:p>
      <w:pPr>
        <w:pStyle w:val="Normal"/>
        <w:numPr>
          <w:ilvl w:val="0"/>
          <w:numId w:val="0"/>
        </w:numPr>
        <w:ind w:hanging="0" w:start="0"/>
        <w:rPr>
          <w:b/>
          <w:sz w:val="26"/>
        </w:rPr>
      </w:pPr>
      <w:r>
        <w:rPr>
          <w:b/>
          <w:sz w:val="26"/>
        </w:rPr>
      </w:r>
    </w:p>
    <w:p>
      <w:pPr>
        <w:pStyle w:val="BodyText2"/>
        <w:numPr>
          <w:ilvl w:val="0"/>
          <w:numId w:val="0"/>
        </w:numPr>
        <w:ind w:hanging="0" w:start="0"/>
        <w:rPr/>
      </w:pPr>
      <w:r>
        <w:rPr/>
        <w:t>Except for the foreign exchange approval as reference to in 4(a) below, there is no consent or approval which either Enron or the Local Counterparty should obtain.  However, with respect to the liquid fuel or mental in Physical Trades, we need more detailed information about the name or variety thereof so that we may check whether it falls within any restrictive or prohibitive import/export goods.  If any of is restrictive or prohibitive goods, the import approval from the relevant authority will be needed.  If there is not physical import or export, and instead, the cash settlement will take place, there will be no import or export approval.</w:t>
      </w:r>
    </w:p>
    <w:p>
      <w:pPr>
        <w:pStyle w:val="Normal"/>
        <w:numPr>
          <w:ilvl w:val="0"/>
          <w:numId w:val="0"/>
        </w:numPr>
        <w:ind w:hanging="0" w:start="0"/>
        <w:rPr>
          <w:sz w:val="26"/>
        </w:rPr>
      </w:pPr>
      <w:r>
        <w:rPr>
          <w:sz w:val="26"/>
        </w:rPr>
      </w:r>
    </w:p>
    <w:p>
      <w:pPr>
        <w:pStyle w:val="Normal"/>
        <w:numPr>
          <w:ilvl w:val="0"/>
          <w:numId w:val="5"/>
        </w:numPr>
        <w:tabs>
          <w:tab w:val="clear" w:pos="560"/>
          <w:tab w:val="left" w:pos="564" w:leader="none"/>
        </w:tabs>
        <w:rPr>
          <w:b/>
          <w:sz w:val="26"/>
        </w:rPr>
      </w:pPr>
      <w:r>
        <w:rPr>
          <w:b/>
          <w:sz w:val="26"/>
        </w:rPr>
        <w:t>EXCHNAGE CONTROLS/LETTER OF CREDIT</w:t>
      </w:r>
    </w:p>
    <w:p>
      <w:pPr>
        <w:pStyle w:val="Normal"/>
        <w:numPr>
          <w:ilvl w:val="0"/>
          <w:numId w:val="0"/>
        </w:numPr>
        <w:ind w:hanging="0" w:start="0"/>
        <w:rPr>
          <w:b/>
          <w:sz w:val="26"/>
        </w:rPr>
      </w:pPr>
      <w:r>
        <w:rPr>
          <w:b/>
          <w:sz w:val="26"/>
        </w:rPr>
      </w:r>
    </w:p>
    <w:p>
      <w:pPr>
        <w:pStyle w:val="BodyText"/>
        <w:numPr>
          <w:ilvl w:val="0"/>
          <w:numId w:val="0"/>
        </w:numPr>
        <w:ind w:hanging="718" w:start="718" w:end="0"/>
        <w:rPr/>
      </w:pPr>
      <w:r>
        <w:rPr/>
        <w:t>4(a)</w:t>
        <w:tab/>
        <w:t>If the Local Counterparty needs to purchase foreign currencies with New Taiwan dollars so as to discharge its payment obligations under the derivative transactions, it will have to obtain the prior approval from the Central Bank of China (the "CBC") unless it has sufficient available foreign currencies or it uses its annual quota as described below.  The CBC's approval will be granted on a payment by payment basis, and the CBC will not grant blanket approval in advance.  Under the current foreign exchange control laws and regulations, ROC companies and individual residents may, without foreign exchange approval, purchase foreign currencies with New Taiwan dollars of up to US$50 million and US$5 million, respectively within each calendar year.  Except for the above, there are no foreign exchange control issues which could affect derivatives transactions.</w:t>
      </w:r>
    </w:p>
    <w:p>
      <w:pPr>
        <w:pStyle w:val="BodyText"/>
        <w:numPr>
          <w:ilvl w:val="0"/>
          <w:numId w:val="0"/>
        </w:numPr>
        <w:ind w:hanging="536" w:start="536" w:end="0"/>
        <w:rPr/>
      </w:pPr>
      <w:r>
        <w:rPr/>
      </w:r>
    </w:p>
    <w:p>
      <w:pPr>
        <w:pStyle w:val="BodyText"/>
        <w:numPr>
          <w:ilvl w:val="0"/>
          <w:numId w:val="0"/>
        </w:numPr>
        <w:ind w:hanging="718" w:start="718" w:end="0"/>
        <w:rPr/>
      </w:pPr>
      <w:r>
        <w:rPr/>
        <w:tab/>
        <w:t>As to Physical Trades which will result in an import or export of liquid fuel or mentals, there will be no foreign exchange control approval being needed.</w:t>
      </w:r>
    </w:p>
    <w:p>
      <w:pPr>
        <w:pStyle w:val="BodyText"/>
        <w:numPr>
          <w:ilvl w:val="0"/>
          <w:numId w:val="0"/>
        </w:numPr>
        <w:ind w:hanging="718" w:start="718" w:end="0"/>
        <w:rPr>
          <w:rFonts w:eastAsia="Times New Roman"/>
        </w:rPr>
      </w:pPr>
      <w:r>
        <w:rPr>
          <w:rFonts w:eastAsia="Times New Roman"/>
        </w:rPr>
        <w:t xml:space="preserve"> </w:t>
      </w:r>
    </w:p>
    <w:p>
      <w:pPr>
        <w:pStyle w:val="3"/>
        <w:ind w:hanging="718" w:start="718" w:end="0"/>
        <w:rPr/>
      </w:pPr>
      <w:r>
        <w:rPr/>
        <w:t>4(b)</w:t>
        <w:tab/>
        <w:t>There is no legal limitations on the Local Counterparty to provide documentary letters of credit or standby letters of credit as credit support for Derivatives or Physical Trades.</w:t>
      </w:r>
    </w:p>
    <w:p>
      <w:pPr>
        <w:pStyle w:val="Normal"/>
        <w:rPr>
          <w:sz w:val="26"/>
        </w:rPr>
      </w:pPr>
      <w:r>
        <w:rPr>
          <w:sz w:val="26"/>
        </w:rPr>
      </w:r>
    </w:p>
    <w:p>
      <w:pPr>
        <w:pStyle w:val="Normal"/>
        <w:numPr>
          <w:ilvl w:val="0"/>
          <w:numId w:val="5"/>
        </w:numPr>
        <w:rPr>
          <w:b/>
          <w:bCs/>
          <w:sz w:val="26"/>
        </w:rPr>
      </w:pPr>
      <w:r>
        <w:rPr>
          <w:b/>
          <w:bCs/>
          <w:sz w:val="26"/>
        </w:rPr>
        <w:t xml:space="preserve">RESTRICTIONS ON MARKETING OR SOLICITING </w:t>
      </w:r>
    </w:p>
    <w:p>
      <w:pPr>
        <w:pStyle w:val="Normal"/>
        <w:rPr>
          <w:b/>
          <w:bCs/>
          <w:sz w:val="26"/>
        </w:rPr>
      </w:pPr>
      <w:r>
        <w:rPr>
          <w:b/>
          <w:bCs/>
          <w:sz w:val="26"/>
        </w:rPr>
      </w:r>
    </w:p>
    <w:p>
      <w:pPr>
        <w:pStyle w:val="2"/>
        <w:rPr/>
      </w:pPr>
      <w:r>
        <w:rPr/>
        <w:t xml:space="preserve">5(a) </w:t>
        <w:tab/>
        <w:t xml:space="preserve">There are no laws or regulations addressing the issue of marketing (by Enron) derivatives transactions or physical trades in Taiwan or soliciting Counterparties in Taiwan.   </w:t>
      </w:r>
    </w:p>
    <w:p>
      <w:pPr>
        <w:pStyle w:val="Normal"/>
        <w:rPr>
          <w:sz w:val="26"/>
        </w:rPr>
      </w:pPr>
      <w:r>
        <w:rPr>
          <w:sz w:val="26"/>
        </w:rPr>
      </w:r>
    </w:p>
    <w:p>
      <w:pPr>
        <w:pStyle w:val="BodyText"/>
        <w:tabs>
          <w:tab w:val="clear" w:pos="560"/>
          <w:tab w:val="left" w:pos="720" w:leader="none"/>
        </w:tabs>
        <w:snapToGrid w:val="false"/>
        <w:textAlignment w:val="auto"/>
        <w:rPr>
          <w:szCs w:val="24"/>
        </w:rPr>
      </w:pPr>
      <w:r>
        <w:rPr>
          <w:szCs w:val="24"/>
        </w:rPr>
        <w:t>5(b)</w:t>
        <w:tab/>
        <w:t>There is no such requirement under the Taiwanese law.</w:t>
      </w:r>
    </w:p>
    <w:p>
      <w:pPr>
        <w:pStyle w:val="Normal"/>
        <w:tabs>
          <w:tab w:val="clear" w:pos="560"/>
          <w:tab w:val="left" w:pos="720" w:leader="none"/>
        </w:tabs>
        <w:rPr>
          <w:sz w:val="26"/>
          <w:szCs w:val="24"/>
        </w:rPr>
      </w:pPr>
      <w:r>
        <w:rPr>
          <w:sz w:val="26"/>
          <w:szCs w:val="24"/>
        </w:rPr>
      </w:r>
    </w:p>
    <w:p>
      <w:pPr>
        <w:pStyle w:val="2"/>
        <w:rPr/>
      </w:pPr>
      <w:r>
        <w:rPr/>
        <w:t>5(c)</w:t>
        <w:tab/>
        <w:t>If Enron's activities in the ROC are business trips or telephone calls, there is no rule being violated.</w:t>
      </w:r>
    </w:p>
    <w:p>
      <w:pPr>
        <w:pStyle w:val="Normal"/>
        <w:rPr>
          <w:sz w:val="26"/>
        </w:rPr>
      </w:pPr>
      <w:r>
        <w:rPr>
          <w:sz w:val="26"/>
        </w:rPr>
      </w:r>
    </w:p>
    <w:p>
      <w:pPr>
        <w:pStyle w:val="Normal"/>
        <w:tabs>
          <w:tab w:val="clear" w:pos="560"/>
          <w:tab w:val="left" w:pos="720" w:leader="none"/>
        </w:tabs>
        <w:rPr>
          <w:sz w:val="26"/>
        </w:rPr>
      </w:pPr>
      <w:r>
        <w:rPr>
          <w:sz w:val="26"/>
        </w:rPr>
        <w:t>5(d)</w:t>
        <w:tab/>
        <w:t>Nil</w:t>
      </w:r>
    </w:p>
    <w:p>
      <w:pPr>
        <w:pStyle w:val="Normal"/>
        <w:tabs>
          <w:tab w:val="clear" w:pos="560"/>
          <w:tab w:val="left" w:pos="720" w:leader="none"/>
        </w:tabs>
        <w:rPr>
          <w:sz w:val="26"/>
        </w:rPr>
      </w:pPr>
      <w:r>
        <w:rPr>
          <w:sz w:val="26"/>
        </w:rPr>
      </w:r>
    </w:p>
    <w:p>
      <w:pPr>
        <w:pStyle w:val="Normal"/>
        <w:tabs>
          <w:tab w:val="clear" w:pos="560"/>
          <w:tab w:val="left" w:pos="720" w:leader="none"/>
        </w:tabs>
        <w:ind w:hanging="718" w:start="718" w:end="0"/>
        <w:rPr>
          <w:sz w:val="26"/>
        </w:rPr>
      </w:pPr>
      <w:r>
        <w:rPr>
          <w:sz w:val="26"/>
        </w:rPr>
        <w:t>5(e)</w:t>
        <w:tab/>
        <w:t>The representative/liaison office may market and solicit Local Counterparty for its offshore parent.  However, under the tax law, any income derived therefrom could be subject to the corporate income tax payable by the Taiwanese presence (because of being considered doing business in Taiwan).</w:t>
      </w:r>
    </w:p>
    <w:p>
      <w:pPr>
        <w:pStyle w:val="Normal"/>
        <w:tabs>
          <w:tab w:val="clear" w:pos="560"/>
          <w:tab w:val="left" w:pos="720" w:leader="none"/>
        </w:tabs>
        <w:rPr>
          <w:sz w:val="26"/>
        </w:rPr>
      </w:pPr>
      <w:r>
        <w:rPr>
          <w:sz w:val="26"/>
        </w:rPr>
      </w:r>
    </w:p>
    <w:p>
      <w:pPr>
        <w:pStyle w:val="Normal"/>
        <w:ind w:hanging="560" w:start="560" w:end="0"/>
        <w:rPr/>
      </w:pPr>
      <w:r>
        <w:rPr>
          <w:sz w:val="26"/>
        </w:rPr>
        <w:t>6.</w:t>
        <w:tab/>
      </w:r>
      <w:r>
        <w:rPr>
          <w:b/>
          <w:bCs/>
          <w:sz w:val="26"/>
        </w:rPr>
        <w:t>DISPUTE RESOLUTION</w:t>
      </w:r>
    </w:p>
    <w:p>
      <w:pPr>
        <w:pStyle w:val="BodyText2"/>
        <w:ind w:hanging="0" w:start="0" w:end="0"/>
        <w:rPr>
          <w:b/>
          <w:bCs/>
          <w:sz w:val="26"/>
        </w:rPr>
      </w:pPr>
      <w:r>
        <w:rPr>
          <w:b/>
          <w:bCs/>
          <w:sz w:val="26"/>
        </w:rPr>
      </w:r>
    </w:p>
    <w:p>
      <w:pPr>
        <w:pStyle w:val="BodyText2"/>
        <w:ind w:hanging="538" w:start="538" w:end="0"/>
        <w:rPr/>
      </w:pPr>
      <w:r>
        <w:rPr/>
        <w:t>6(a)</w:t>
        <w:tab/>
        <w:t>It is legally permitted for Local Counterparty to choose any foreign law as the governing law.  However, the foreign law will not be applied by the ROC court to the extent that any provision thereof is in conflict with the public order or good morals of Taiwan.</w:t>
      </w:r>
    </w:p>
    <w:p>
      <w:pPr>
        <w:pStyle w:val="BodyText2"/>
        <w:ind w:hanging="538" w:start="538" w:end="0"/>
        <w:rPr/>
      </w:pPr>
      <w:r>
        <w:rPr/>
      </w:r>
    </w:p>
    <w:p>
      <w:pPr>
        <w:pStyle w:val="BodyText2"/>
        <w:ind w:hanging="0" w:start="0" w:end="0"/>
        <w:rPr/>
      </w:pPr>
      <w:r>
        <w:rPr/>
      </w:r>
    </w:p>
    <w:p>
      <w:pPr>
        <w:pStyle w:val="BodyText2"/>
        <w:ind w:hanging="0" w:start="0" w:end="0"/>
        <w:rPr/>
      </w:pPr>
      <w:r>
        <w:rPr/>
        <w:t>6(b)</w:t>
        <w:tab/>
        <w:t>Yes.</w:t>
      </w:r>
    </w:p>
    <w:p>
      <w:pPr>
        <w:pStyle w:val="BodyText2"/>
        <w:ind w:hanging="0" w:start="0" w:end="0"/>
        <w:rPr/>
      </w:pPr>
      <w:r>
        <w:rPr/>
      </w:r>
    </w:p>
    <w:p>
      <w:pPr>
        <w:pStyle w:val="BodyText2"/>
        <w:ind w:hanging="538" w:start="538" w:end="0"/>
        <w:rPr/>
      </w:pPr>
      <w:r>
        <w:rPr/>
        <w:t>6(c)</w:t>
        <w:tab/>
        <w:tab/>
        <w:t>Under Article 402 of the Code of Civil Procedure, the final foreign judgment will be recognized and enforced by the Taiwanese court without reviewing the remit if the following requirements are met:</w:t>
      </w:r>
    </w:p>
    <w:p>
      <w:pPr>
        <w:pStyle w:val="BodyText2"/>
        <w:ind w:hanging="538" w:start="538" w:end="0"/>
        <w:rPr/>
      </w:pPr>
      <w:r>
        <w:rPr/>
      </w:r>
    </w:p>
    <w:p>
      <w:pPr>
        <w:pStyle w:val="Normal"/>
        <w:numPr>
          <w:ilvl w:val="0"/>
          <w:numId w:val="4"/>
        </w:numPr>
        <w:tabs>
          <w:tab w:val="clear" w:pos="560"/>
        </w:tabs>
        <w:spacing w:lineRule="atLeast" w:line="240"/>
        <w:ind w:hanging="540" w:start="1080" w:end="0"/>
        <w:rPr>
          <w:sz w:val="26"/>
          <w:szCs w:val="22"/>
        </w:rPr>
      </w:pPr>
      <w:r>
        <w:rPr>
          <w:sz w:val="26"/>
          <w:szCs w:val="22"/>
        </w:rPr>
        <w:t>the court rendering the judgment had jurisdiction over the subject matter according to the laws of Taiwan;</w:t>
      </w:r>
    </w:p>
    <w:p>
      <w:pPr>
        <w:pStyle w:val="Normal"/>
        <w:spacing w:lineRule="atLeast" w:line="240"/>
        <w:ind w:start="540" w:end="0"/>
        <w:rPr>
          <w:sz w:val="26"/>
          <w:szCs w:val="22"/>
        </w:rPr>
      </w:pPr>
      <w:r>
        <w:rPr>
          <w:sz w:val="26"/>
          <w:szCs w:val="22"/>
        </w:rPr>
      </w:r>
    </w:p>
    <w:p>
      <w:pPr>
        <w:pStyle w:val="Normal"/>
        <w:numPr>
          <w:ilvl w:val="0"/>
          <w:numId w:val="4"/>
        </w:numPr>
        <w:tabs>
          <w:tab w:val="clear" w:pos="560"/>
        </w:tabs>
        <w:spacing w:lineRule="atLeast" w:line="240"/>
        <w:ind w:hanging="540" w:start="1080" w:end="0"/>
        <w:rPr>
          <w:sz w:val="26"/>
        </w:rPr>
      </w:pPr>
      <w:r>
        <w:rPr>
          <w:sz w:val="26"/>
          <w:szCs w:val="22"/>
        </w:rPr>
        <w:t>the judgment is not contrary to the public order or good morals of Taiwan;</w:t>
      </w:r>
    </w:p>
    <w:p>
      <w:pPr>
        <w:pStyle w:val="Normal"/>
        <w:spacing w:lineRule="atLeast" w:line="240"/>
        <w:rPr>
          <w:sz w:val="26"/>
          <w:szCs w:val="22"/>
        </w:rPr>
      </w:pPr>
      <w:r>
        <w:rPr>
          <w:sz w:val="26"/>
          <w:szCs w:val="22"/>
        </w:rPr>
      </w:r>
    </w:p>
    <w:p>
      <w:pPr>
        <w:pStyle w:val="Normal"/>
        <w:numPr>
          <w:ilvl w:val="0"/>
          <w:numId w:val="4"/>
        </w:numPr>
        <w:tabs>
          <w:tab w:val="clear" w:pos="560"/>
        </w:tabs>
        <w:spacing w:lineRule="atLeast" w:line="240"/>
        <w:ind w:hanging="540" w:start="1080" w:end="0"/>
        <w:rPr>
          <w:sz w:val="26"/>
        </w:rPr>
      </w:pPr>
      <w:r>
        <w:rPr>
          <w:sz w:val="26"/>
          <w:szCs w:val="22"/>
        </w:rPr>
        <w:t xml:space="preserve">if the judgment was rendered by default by the court rendering the judgment, the Taiwanese defendant was served while within the jurisdiction of such court or process was served on the Taiwanese defendant with judicial assistance of Taiwan; and </w:t>
      </w:r>
    </w:p>
    <w:p>
      <w:pPr>
        <w:pStyle w:val="Normal"/>
        <w:spacing w:lineRule="atLeast" w:line="240"/>
        <w:rPr>
          <w:sz w:val="26"/>
          <w:szCs w:val="22"/>
        </w:rPr>
      </w:pPr>
      <w:r>
        <w:rPr>
          <w:sz w:val="26"/>
          <w:szCs w:val="22"/>
        </w:rPr>
      </w:r>
    </w:p>
    <w:p>
      <w:pPr>
        <w:pStyle w:val="Normal"/>
        <w:numPr>
          <w:ilvl w:val="0"/>
          <w:numId w:val="4"/>
        </w:numPr>
        <w:tabs>
          <w:tab w:val="clear" w:pos="560"/>
        </w:tabs>
        <w:spacing w:lineRule="atLeast" w:line="240"/>
        <w:ind w:hanging="540" w:start="1080" w:end="0"/>
        <w:rPr>
          <w:sz w:val="26"/>
        </w:rPr>
      </w:pPr>
      <w:r>
        <w:rPr>
          <w:sz w:val="26"/>
          <w:szCs w:val="22"/>
        </w:rPr>
        <w:t>judgments of the courts of Taiwan are recognized and enforceable in the court rendering the judgment on a reciprocal basis</w:t>
      </w:r>
      <w:r>
        <w:rPr>
          <w:sz w:val="26"/>
        </w:rPr>
        <w:t xml:space="preserve">; </w:t>
      </w:r>
    </w:p>
    <w:p>
      <w:pPr>
        <w:pStyle w:val="BodyText2"/>
        <w:ind w:hanging="538" w:start="538" w:end="0"/>
        <w:rPr>
          <w:sz w:val="26"/>
        </w:rPr>
      </w:pPr>
      <w:r>
        <w:rPr>
          <w:sz w:val="26"/>
        </w:rPr>
      </w:r>
    </w:p>
    <w:p>
      <w:pPr>
        <w:pStyle w:val="BodyText2"/>
        <w:ind w:hanging="538" w:start="538" w:end="0"/>
        <w:rPr/>
      </w:pPr>
      <w:r>
        <w:rPr/>
        <w:t>6(d)</w:t>
        <w:tab/>
        <w:t>Yes.</w:t>
      </w:r>
    </w:p>
    <w:p>
      <w:pPr>
        <w:pStyle w:val="BodyText2"/>
        <w:ind w:hanging="538" w:start="538" w:end="0"/>
        <w:rPr/>
      </w:pPr>
      <w:r>
        <w:rPr/>
      </w:r>
    </w:p>
    <w:p>
      <w:pPr>
        <w:pStyle w:val="BodyText2"/>
        <w:ind w:hanging="538" w:start="538" w:end="0"/>
        <w:rPr/>
      </w:pPr>
      <w:r>
        <w:rPr/>
        <w:t>6(e)</w:t>
        <w:tab/>
        <w:t>Yes.</w:t>
      </w:r>
    </w:p>
    <w:p>
      <w:pPr>
        <w:pStyle w:val="Normal"/>
        <w:rPr>
          <w:sz w:val="26"/>
          <w:szCs w:val="20"/>
        </w:rPr>
      </w:pPr>
      <w:r>
        <w:rPr>
          <w:sz w:val="26"/>
          <w:szCs w:val="20"/>
        </w:rPr>
      </w:r>
    </w:p>
    <w:p>
      <w:pPr>
        <w:pStyle w:val="Normal"/>
        <w:rPr/>
      </w:pPr>
      <w:r>
        <w:rPr/>
        <w:t>6(f)</w:t>
        <w:tab/>
        <w:t>No.</w:t>
      </w:r>
    </w:p>
    <w:p>
      <w:pPr>
        <w:pStyle w:val="Normal"/>
        <w:rPr/>
      </w:pPr>
      <w:r>
        <w:rPr/>
      </w:r>
    </w:p>
    <w:p>
      <w:pPr>
        <w:pStyle w:val="Normal"/>
        <w:rPr/>
      </w:pPr>
      <w:r>
        <w:rPr/>
        <w:t>6(g)</w:t>
        <w:tab/>
        <w:t>No.</w:t>
      </w:r>
    </w:p>
    <w:p>
      <w:pPr>
        <w:pStyle w:val="Normal"/>
        <w:rPr/>
      </w:pPr>
      <w:r>
        <w:rPr/>
      </w:r>
    </w:p>
    <w:p>
      <w:pPr>
        <w:pStyle w:val="Normal"/>
        <w:ind w:hanging="538" w:start="538" w:end="0"/>
        <w:rPr/>
      </w:pPr>
      <w:r>
        <w:rPr/>
        <w:t>6(h)</w:t>
        <w:tab/>
        <w:t>Taiwan has signed the Convention on the Settlement of Investment Disputes of 1965 in 1967 and enacted an internal regulation according to such Convention.  However, the internal regulation has been abolished in July 1993.  There is a bilateral convention between Taiwan and the United States regarding the arbitration of dispute named "the Treaty of Friendship, Commerce, and Navigation between the Republic of China and the United States".</w:t>
      </w:r>
    </w:p>
    <w:p>
      <w:pPr>
        <w:pStyle w:val="Normal"/>
        <w:rPr/>
      </w:pPr>
      <w:r>
        <w:rPr/>
      </w:r>
    </w:p>
    <w:p>
      <w:pPr>
        <w:pStyle w:val="Normal"/>
        <w:ind w:hanging="538" w:start="538" w:end="0"/>
        <w:rPr/>
      </w:pPr>
      <w:r>
        <w:rPr/>
        <w:t>6(i)</w:t>
        <w:tab/>
        <w:t>A final arbitral award obtained in a foreign country against the Local Counterparty would be recognized and enforced in Taiwan in the same manner as a judgment or order of the courts of Taiwan to the same effect provided that the requirements under Article 31 of the Commercial Arbitration Act have been satisfied.  In principle, the Taiwan court would reject the application for enforcement of a foreign arbitration award if:</w:t>
      </w:r>
    </w:p>
    <w:p>
      <w:pPr>
        <w:pStyle w:val="Normal"/>
        <w:rPr/>
      </w:pPr>
      <w:r>
        <w:rPr/>
      </w:r>
    </w:p>
    <w:p>
      <w:pPr>
        <w:pStyle w:val="Normal"/>
        <w:numPr>
          <w:ilvl w:val="0"/>
          <w:numId w:val="3"/>
        </w:numPr>
        <w:ind w:hanging="540" w:start="1080" w:end="0"/>
        <w:rPr/>
      </w:pPr>
      <w:r>
        <w:rPr/>
        <w:t>the disputes are not allowed to be resolved by arbitration according to the laws of the country rendering the award;</w:t>
      </w:r>
    </w:p>
    <w:p>
      <w:pPr>
        <w:pStyle w:val="Normal"/>
        <w:numPr>
          <w:ilvl w:val="0"/>
          <w:numId w:val="0"/>
        </w:numPr>
        <w:ind w:hanging="0" w:start="0"/>
        <w:rPr/>
      </w:pPr>
      <w:r>
        <w:rPr/>
      </w:r>
    </w:p>
    <w:p>
      <w:pPr>
        <w:pStyle w:val="Normal"/>
        <w:numPr>
          <w:ilvl w:val="0"/>
          <w:numId w:val="3"/>
        </w:numPr>
        <w:ind w:hanging="540" w:start="1080" w:end="0"/>
        <w:rPr/>
      </w:pPr>
      <w:r>
        <w:rPr/>
        <w:t>the award is contrary to the public order or good morals of the Taiwan; or</w:t>
      </w:r>
    </w:p>
    <w:p>
      <w:pPr>
        <w:pStyle w:val="Normal"/>
        <w:numPr>
          <w:ilvl w:val="0"/>
          <w:numId w:val="0"/>
        </w:numPr>
        <w:ind w:hanging="0" w:start="0"/>
        <w:rPr/>
      </w:pPr>
      <w:r>
        <w:rPr/>
      </w:r>
    </w:p>
    <w:p>
      <w:pPr>
        <w:pStyle w:val="Normal"/>
        <w:numPr>
          <w:ilvl w:val="0"/>
          <w:numId w:val="3"/>
        </w:numPr>
        <w:tabs>
          <w:tab w:val="clear" w:pos="560"/>
          <w:tab w:val="left" w:pos="564" w:leader="none"/>
        </w:tabs>
        <w:ind w:hanging="24" w:start="564" w:end="0"/>
        <w:rPr/>
      </w:pPr>
      <w:r>
        <w:rPr/>
        <w:t>the award violates the mandatory provisions of Taiwan laws.</w:t>
      </w:r>
    </w:p>
    <w:p>
      <w:pPr>
        <w:pStyle w:val="Normal"/>
        <w:rPr/>
      </w:pPr>
      <w:r>
        <w:rPr/>
      </w:r>
    </w:p>
    <w:p>
      <w:pPr>
        <w:pStyle w:val="Normal"/>
        <w:ind w:firstLine="2" w:start="538" w:end="0"/>
        <w:rPr/>
      </w:pPr>
      <w:r>
        <w:rPr/>
        <w:t xml:space="preserve">In addition, the Taiwan court may, at its discretion, reject the application for enforcement of a foreign arbitration award if awards rendered in Taiwan are not recognized by foreign court.  The party who seeks the recognition and enforcement of foreign arbitration award will have to prove the existence of the reciprocal recognition.  To the best of our knowledge, awards rendered in the United Kingdom have been recognized and enforced by Taiwan courts.  We have no reason to doubt that the Taiwan court will not recognize the application for enforcement of an arbitration award obtained in New York unless the New York courts refuse to recognize Taiwanese arbitration awards.  </w:t>
      </w:r>
    </w:p>
    <w:p>
      <w:pPr>
        <w:pStyle w:val="Normal"/>
        <w:rPr/>
      </w:pPr>
      <w:r>
        <w:rPr/>
      </w:r>
    </w:p>
    <w:p>
      <w:pPr>
        <w:pStyle w:val="Normal"/>
        <w:rPr/>
      </w:pPr>
      <w:r>
        <w:rPr/>
        <w:t>6(j)</w:t>
        <w:tab/>
        <w:t>Yes.</w:t>
      </w:r>
    </w:p>
    <w:p>
      <w:pPr>
        <w:pStyle w:val="Normal"/>
        <w:rPr/>
      </w:pPr>
      <w:r>
        <w:rPr/>
      </w:r>
    </w:p>
    <w:p>
      <w:pPr>
        <w:pStyle w:val="Normal"/>
        <w:numPr>
          <w:ilvl w:val="0"/>
          <w:numId w:val="2"/>
        </w:numPr>
        <w:rPr>
          <w:b/>
          <w:bCs/>
        </w:rPr>
      </w:pPr>
      <w:r>
        <w:rPr>
          <w:b/>
          <w:bCs/>
        </w:rPr>
        <w:t>LIMITATION OF REMEDIES/ASSIGNMENT</w:t>
      </w:r>
    </w:p>
    <w:p>
      <w:pPr>
        <w:pStyle w:val="Normal"/>
        <w:ind w:start="560" w:end="0"/>
        <w:rPr>
          <w:b/>
          <w:bCs/>
        </w:rPr>
      </w:pPr>
      <w:r>
        <w:rPr>
          <w:b/>
          <w:bCs/>
        </w:rPr>
      </w:r>
    </w:p>
    <w:p>
      <w:pPr>
        <w:pStyle w:val="BodyTextIndent"/>
        <w:rPr/>
      </w:pPr>
      <w:r>
        <w:rPr/>
        <w:t>Yes.</w:t>
      </w:r>
    </w:p>
    <w:p>
      <w:pPr>
        <w:pStyle w:val="BodyTextIndent"/>
        <w:rPr/>
      </w:pPr>
      <w:r>
        <w:rPr/>
      </w:r>
    </w:p>
    <w:p>
      <w:pPr>
        <w:pStyle w:val="Normal"/>
        <w:numPr>
          <w:ilvl w:val="0"/>
          <w:numId w:val="2"/>
        </w:numPr>
        <w:rPr>
          <w:b/>
          <w:bCs/>
        </w:rPr>
      </w:pPr>
      <w:r>
        <w:rPr>
          <w:b/>
          <w:bCs/>
        </w:rPr>
        <w:t>IMMUNITY</w:t>
      </w:r>
    </w:p>
    <w:p>
      <w:pPr>
        <w:pStyle w:val="Normal"/>
        <w:rPr>
          <w:b/>
          <w:bCs/>
        </w:rPr>
      </w:pPr>
      <w:r>
        <w:rPr>
          <w:b/>
          <w:bCs/>
        </w:rPr>
      </w:r>
    </w:p>
    <w:p>
      <w:pPr>
        <w:pStyle w:val="BodyTextIndent"/>
        <w:rPr/>
      </w:pPr>
      <w:r>
        <w:rPr/>
        <w:t>In case of commercial transactions, the government entity is not allowed to claim the sovereignty immunity.  As to Local Counterparties other than government agencies, there is no such immunity under the law.</w:t>
      </w:r>
    </w:p>
    <w:p>
      <w:pPr>
        <w:pStyle w:val="Normal"/>
        <w:ind w:start="560" w:end="0"/>
        <w:rPr/>
      </w:pPr>
      <w:r>
        <w:rPr/>
      </w:r>
    </w:p>
    <w:p>
      <w:pPr>
        <w:pStyle w:val="Normal"/>
        <w:numPr>
          <w:ilvl w:val="0"/>
          <w:numId w:val="7"/>
        </w:numPr>
        <w:tabs>
          <w:tab w:val="clear" w:pos="560"/>
        </w:tabs>
        <w:ind w:hanging="920" w:start="920" w:end="0"/>
        <w:rPr>
          <w:b/>
          <w:bCs/>
        </w:rPr>
      </w:pPr>
      <w:r>
        <w:rPr>
          <w:b/>
          <w:bCs/>
        </w:rPr>
        <w:t>INSOLVENCY</w:t>
      </w:r>
    </w:p>
    <w:p>
      <w:pPr>
        <w:pStyle w:val="Normal"/>
        <w:ind w:start="560" w:end="0"/>
        <w:rPr>
          <w:b/>
          <w:bCs/>
        </w:rPr>
      </w:pPr>
      <w:r>
        <w:rPr>
          <w:b/>
          <w:bCs/>
        </w:rPr>
      </w:r>
    </w:p>
    <w:p>
      <w:pPr>
        <w:pStyle w:val="Normal"/>
        <w:rPr/>
      </w:pPr>
      <w:r>
        <w:rPr/>
        <w:t>11(a) Yes.</w:t>
      </w:r>
    </w:p>
    <w:p>
      <w:pPr>
        <w:pStyle w:val="Normal"/>
        <w:rPr/>
      </w:pPr>
      <w:r>
        <w:rPr/>
      </w:r>
    </w:p>
    <w:p>
      <w:pPr>
        <w:pStyle w:val="Normal"/>
        <w:ind w:hanging="720" w:start="720" w:end="0"/>
        <w:rPr/>
      </w:pPr>
      <w:r>
        <w:rPr/>
        <w:t>11(b) Under the Bankruptcy Law, a contract with a specific term will become mature even before the expiry of the specified term if the Local Counterparty becomes bankrupt.</w:t>
      </w:r>
    </w:p>
    <w:p>
      <w:pPr>
        <w:pStyle w:val="Normal"/>
        <w:ind w:hanging="720" w:start="720" w:end="0"/>
        <w:rPr/>
      </w:pPr>
      <w:r>
        <w:rPr/>
      </w:r>
    </w:p>
    <w:p>
      <w:pPr>
        <w:pStyle w:val="Normal"/>
        <w:ind w:hanging="720" w:start="720" w:end="0"/>
        <w:rPr/>
      </w:pPr>
      <w:r>
        <w:rPr/>
        <w:t>11(c)</w:t>
        <w:tab/>
        <w:t>There is no "cherry pick" right applicable to the trustee in bankruptcy.</w:t>
      </w:r>
    </w:p>
    <w:p>
      <w:pPr>
        <w:pStyle w:val="Normal"/>
        <w:ind w:hanging="720" w:start="720" w:end="0"/>
        <w:rPr/>
      </w:pPr>
      <w:r>
        <w:rPr/>
      </w:r>
    </w:p>
    <w:p>
      <w:pPr>
        <w:pStyle w:val="Normal"/>
        <w:numPr>
          <w:ilvl w:val="0"/>
          <w:numId w:val="7"/>
        </w:numPr>
        <w:tabs>
          <w:tab w:val="clear" w:pos="560"/>
        </w:tabs>
        <w:ind w:hanging="920" w:start="920" w:end="0"/>
        <w:rPr>
          <w:b/>
          <w:bCs/>
        </w:rPr>
      </w:pPr>
      <w:r>
        <w:rPr>
          <w:b/>
          <w:bCs/>
        </w:rPr>
        <w:t>TAXATION</w:t>
      </w:r>
    </w:p>
    <w:p>
      <w:pPr>
        <w:pStyle w:val="Normal"/>
        <w:ind w:start="560" w:end="0"/>
        <w:rPr>
          <w:b/>
          <w:bCs/>
        </w:rPr>
      </w:pPr>
      <w:r>
        <w:rPr>
          <w:b/>
          <w:bCs/>
        </w:rPr>
      </w:r>
    </w:p>
    <w:p>
      <w:pPr>
        <w:pStyle w:val="Normal"/>
        <w:tabs>
          <w:tab w:val="clear" w:pos="560"/>
          <w:tab w:val="left" w:pos="720" w:leader="none"/>
        </w:tabs>
        <w:ind w:hanging="718" w:start="718" w:end="0"/>
        <w:jc w:val="start"/>
        <w:rPr>
          <w:sz w:val="26"/>
        </w:rPr>
      </w:pPr>
      <w:r>
        <w:rPr>
          <w:sz w:val="26"/>
        </w:rPr>
        <w:t>12(a)</w:t>
        <w:tab/>
        <w:t>Under the existing ROC tax laws, there is a general principle that a 20% withholding tax be imposed on the payment of interest or fees made by ROC residential corporate entities to a foreigner.  By the same token, income derived from Derivative and earned by the offshore party would possibly be subject to the withholding tax.  Nevertheless, it is our understanding that the taxing authority has been studying taxation for derivatives for a long time and no conclusion has been made as of today.  There is no business tax or stamp duty or other documentary taxes on the derivative transactions made between an onshore resident and an offshore party.</w:t>
      </w:r>
    </w:p>
    <w:p>
      <w:pPr>
        <w:pStyle w:val="Normal"/>
        <w:jc w:val="start"/>
        <w:rPr>
          <w:sz w:val="26"/>
        </w:rPr>
      </w:pPr>
      <w:r>
        <w:rPr>
          <w:sz w:val="26"/>
        </w:rPr>
      </w:r>
    </w:p>
    <w:p>
      <w:pPr>
        <w:pStyle w:val="Normal"/>
        <w:tabs>
          <w:tab w:val="clear" w:pos="560"/>
          <w:tab w:val="left" w:pos="720" w:leader="none"/>
        </w:tabs>
        <w:ind w:start="718" w:end="0"/>
        <w:jc w:val="start"/>
        <w:rPr>
          <w:sz w:val="26"/>
        </w:rPr>
      </w:pPr>
      <w:r>
        <w:rPr>
          <w:sz w:val="26"/>
        </w:rPr>
        <w:tab/>
        <w:t>In case of Physical Trades classified as an import/export trade, there is no Taiwanese tax issues.</w:t>
      </w:r>
    </w:p>
    <w:p>
      <w:pPr>
        <w:pStyle w:val="Normal"/>
        <w:jc w:val="start"/>
        <w:rPr>
          <w:sz w:val="26"/>
        </w:rPr>
      </w:pPr>
      <w:r>
        <w:rPr>
          <w:sz w:val="26"/>
        </w:rPr>
      </w:r>
    </w:p>
    <w:p>
      <w:pPr>
        <w:pStyle w:val="Normal"/>
        <w:tabs>
          <w:tab w:val="clear" w:pos="560"/>
          <w:tab w:val="left" w:pos="720" w:leader="none"/>
        </w:tabs>
        <w:jc w:val="start"/>
        <w:rPr>
          <w:sz w:val="26"/>
        </w:rPr>
      </w:pPr>
      <w:r>
        <w:rPr>
          <w:sz w:val="26"/>
        </w:rPr>
        <w:t>12(b)</w:t>
        <w:tab/>
        <w:t>The gross-up provision is permitted under the Taiwanese law.</w:t>
      </w:r>
    </w:p>
    <w:p>
      <w:pPr>
        <w:pStyle w:val="Normal"/>
        <w:tabs>
          <w:tab w:val="clear" w:pos="560"/>
          <w:tab w:val="left" w:pos="720" w:leader="none"/>
        </w:tabs>
        <w:jc w:val="start"/>
        <w:rPr>
          <w:sz w:val="26"/>
        </w:rPr>
      </w:pPr>
      <w:r>
        <w:rPr>
          <w:sz w:val="26"/>
        </w:rPr>
      </w:r>
    </w:p>
    <w:p>
      <w:pPr>
        <w:pStyle w:val="Normal"/>
        <w:tabs>
          <w:tab w:val="clear" w:pos="560"/>
          <w:tab w:val="left" w:pos="720" w:leader="none"/>
        </w:tabs>
        <w:ind w:hanging="720" w:start="720" w:end="0"/>
        <w:jc w:val="start"/>
        <w:rPr>
          <w:sz w:val="26"/>
        </w:rPr>
      </w:pPr>
      <w:r>
        <w:rPr>
          <w:sz w:val="26"/>
        </w:rPr>
        <w:t>12(c)</w:t>
        <w:tab/>
        <w:t>If Enron has a business agent or a branch office in Taiwan, Enron is deemed having a "permanent establishment" in Taiwan.</w:t>
      </w:r>
    </w:p>
    <w:p>
      <w:pPr>
        <w:pStyle w:val="Normal"/>
        <w:tabs>
          <w:tab w:val="clear" w:pos="560"/>
          <w:tab w:val="left" w:pos="720" w:leader="none"/>
        </w:tabs>
        <w:ind w:hanging="720" w:start="720" w:end="0"/>
        <w:jc w:val="start"/>
        <w:rPr>
          <w:sz w:val="26"/>
        </w:rPr>
      </w:pPr>
      <w:r>
        <w:rPr>
          <w:sz w:val="26"/>
        </w:rPr>
      </w:r>
    </w:p>
    <w:p>
      <w:pPr>
        <w:pStyle w:val="Normal"/>
        <w:tabs>
          <w:tab w:val="clear" w:pos="560"/>
          <w:tab w:val="left" w:pos="720" w:leader="none"/>
        </w:tabs>
        <w:ind w:hanging="720" w:start="720" w:end="0"/>
        <w:jc w:val="start"/>
        <w:rPr>
          <w:sz w:val="26"/>
        </w:rPr>
      </w:pPr>
      <w:r>
        <w:rPr>
          <w:sz w:val="26"/>
        </w:rPr>
        <w:t>12(d)</w:t>
        <w:tab/>
        <w:t xml:space="preserve">Yes.  The representative office can be established in Taiwan.  It cannot engage in any profit-generating activity in Taiwan, while it can visit clients, liaise between clients and Enron's head office, or take other actions which is increasing the recognition of Enron in Taiwan.  In other words, any trade or derivative should be made under the name of Enron's head office rather than the representative office.  </w:t>
      </w:r>
    </w:p>
    <w:p>
      <w:pPr>
        <w:pStyle w:val="Normal"/>
        <w:tabs>
          <w:tab w:val="clear" w:pos="560"/>
          <w:tab w:val="left" w:pos="720" w:leader="none"/>
        </w:tabs>
        <w:ind w:hanging="720" w:start="720" w:end="0"/>
        <w:jc w:val="start"/>
        <w:rPr>
          <w:sz w:val="26"/>
        </w:rPr>
      </w:pPr>
      <w:r>
        <w:rPr>
          <w:sz w:val="26"/>
        </w:rPr>
      </w:r>
    </w:p>
    <w:p>
      <w:pPr>
        <w:pStyle w:val="Normal"/>
        <w:numPr>
          <w:ilvl w:val="0"/>
          <w:numId w:val="7"/>
        </w:numPr>
        <w:tabs>
          <w:tab w:val="clear" w:pos="560"/>
        </w:tabs>
        <w:ind w:hanging="920" w:start="920" w:end="0"/>
        <w:jc w:val="start"/>
        <w:rPr>
          <w:b/>
          <w:bCs/>
          <w:sz w:val="26"/>
        </w:rPr>
      </w:pPr>
      <w:r>
        <w:rPr>
          <w:b/>
          <w:bCs/>
          <w:sz w:val="26"/>
        </w:rPr>
        <w:t>ORAL CONTRACTS</w:t>
      </w:r>
    </w:p>
    <w:p>
      <w:pPr>
        <w:pStyle w:val="Normal"/>
        <w:jc w:val="start"/>
        <w:rPr>
          <w:b/>
          <w:bCs/>
          <w:sz w:val="26"/>
        </w:rPr>
      </w:pPr>
      <w:r>
        <w:rPr>
          <w:b/>
          <w:bCs/>
          <w:sz w:val="26"/>
        </w:rPr>
      </w:r>
    </w:p>
    <w:p>
      <w:pPr>
        <w:pStyle w:val="Normal"/>
        <w:tabs>
          <w:tab w:val="clear" w:pos="560"/>
          <w:tab w:val="left" w:pos="720" w:leader="none"/>
        </w:tabs>
        <w:jc w:val="start"/>
        <w:rPr>
          <w:sz w:val="26"/>
        </w:rPr>
      </w:pPr>
      <w:r>
        <w:rPr>
          <w:sz w:val="26"/>
        </w:rPr>
        <w:t>13(a)</w:t>
        <w:tab/>
        <w:t>Yes.</w:t>
      </w:r>
    </w:p>
    <w:p>
      <w:pPr>
        <w:pStyle w:val="Normal"/>
        <w:tabs>
          <w:tab w:val="clear" w:pos="560"/>
          <w:tab w:val="left" w:pos="720" w:leader="none"/>
        </w:tabs>
        <w:jc w:val="start"/>
        <w:rPr>
          <w:sz w:val="26"/>
        </w:rPr>
      </w:pPr>
      <w:r>
        <w:rPr>
          <w:sz w:val="26"/>
        </w:rPr>
      </w:r>
    </w:p>
    <w:p>
      <w:pPr>
        <w:pStyle w:val="Normal"/>
        <w:tabs>
          <w:tab w:val="clear" w:pos="560"/>
          <w:tab w:val="left" w:pos="720" w:leader="none"/>
        </w:tabs>
        <w:jc w:val="start"/>
        <w:rPr>
          <w:sz w:val="26"/>
        </w:rPr>
      </w:pPr>
      <w:r>
        <w:rPr>
          <w:sz w:val="26"/>
        </w:rPr>
        <w:t>13(b)</w:t>
        <w:tab/>
        <w:t>Yes.</w:t>
      </w:r>
    </w:p>
    <w:p>
      <w:pPr>
        <w:pStyle w:val="Normal"/>
        <w:tabs>
          <w:tab w:val="clear" w:pos="560"/>
          <w:tab w:val="left" w:pos="720" w:leader="none"/>
        </w:tabs>
        <w:jc w:val="start"/>
        <w:rPr>
          <w:sz w:val="26"/>
        </w:rPr>
      </w:pPr>
      <w:r>
        <w:rPr>
          <w:sz w:val="26"/>
        </w:rPr>
      </w:r>
    </w:p>
    <w:p>
      <w:pPr>
        <w:pStyle w:val="Heading5"/>
        <w:numPr>
          <w:ilvl w:val="0"/>
          <w:numId w:val="6"/>
        </w:numPr>
        <w:tabs>
          <w:tab w:val="clear" w:pos="720"/>
        </w:tabs>
        <w:rPr/>
      </w:pPr>
      <w:r>
        <w:rPr/>
        <w:t>ADDITIONAL ISSUES RELATING TO DEIVATIVES</w:t>
      </w:r>
    </w:p>
    <w:p>
      <w:pPr>
        <w:pStyle w:val="Normal"/>
        <w:tabs>
          <w:tab w:val="clear" w:pos="560"/>
          <w:tab w:val="left" w:pos="720" w:leader="none"/>
        </w:tabs>
        <w:jc w:val="start"/>
        <w:rPr>
          <w:b/>
          <w:bCs/>
          <w:sz w:val="26"/>
        </w:rPr>
      </w:pPr>
      <w:r>
        <w:rPr>
          <w:b/>
          <w:bCs/>
          <w:sz w:val="26"/>
        </w:rPr>
      </w:r>
    </w:p>
    <w:p>
      <w:pPr>
        <w:pStyle w:val="Normal"/>
        <w:numPr>
          <w:ilvl w:val="1"/>
          <w:numId w:val="6"/>
        </w:numPr>
        <w:tabs>
          <w:tab w:val="clear" w:pos="560"/>
        </w:tabs>
        <w:ind w:hanging="1044" w:start="1044" w:end="0"/>
        <w:jc w:val="start"/>
        <w:rPr>
          <w:b/>
          <w:bCs/>
          <w:sz w:val="26"/>
        </w:rPr>
      </w:pPr>
      <w:r>
        <w:rPr>
          <w:b/>
          <w:bCs/>
          <w:sz w:val="26"/>
        </w:rPr>
        <w:t>GAMBLING</w:t>
      </w:r>
    </w:p>
    <w:p>
      <w:pPr>
        <w:pStyle w:val="Normal"/>
        <w:tabs>
          <w:tab w:val="clear" w:pos="560"/>
          <w:tab w:val="left" w:pos="720" w:leader="none"/>
        </w:tabs>
        <w:ind w:start="480" w:end="0"/>
        <w:jc w:val="start"/>
        <w:rPr>
          <w:b/>
          <w:bCs/>
          <w:sz w:val="26"/>
        </w:rPr>
      </w:pPr>
      <w:r>
        <w:rPr>
          <w:b/>
          <w:bCs/>
          <w:sz w:val="26"/>
        </w:rPr>
      </w:r>
    </w:p>
    <w:p>
      <w:pPr>
        <w:pStyle w:val="Normal"/>
        <w:rPr/>
      </w:pPr>
      <w:r>
        <w:rPr/>
        <w:t>There are several Supreme Court decisions holding that a translation with the nature of "buying and selling" but without the intention to deliver the subject "bought or sold" is void.  However, given that the ROC has enacted a futures law and banks have been permitted to operate derivative business, we believe said Supreme Court decisions will hardly be applied.  Furthermore, even if certain companies are limited to entering into derivatives for the risk hedging purpose only, the derivative made by them for speculation purpose will not become null and void.  The consequence will be certain administrative sanctions imposed by the regulator upon such violating company.</w:t>
      </w:r>
    </w:p>
    <w:p>
      <w:pPr>
        <w:pStyle w:val="Normal"/>
        <w:tabs>
          <w:tab w:val="clear" w:pos="560"/>
          <w:tab w:val="left" w:pos="540" w:leader="none"/>
        </w:tabs>
        <w:jc w:val="start"/>
        <w:rPr>
          <w:sz w:val="26"/>
        </w:rPr>
      </w:pPr>
      <w:r>
        <w:rPr>
          <w:sz w:val="26"/>
        </w:rPr>
      </w:r>
    </w:p>
    <w:p>
      <w:pPr>
        <w:pStyle w:val="Normal"/>
        <w:tabs>
          <w:tab w:val="clear" w:pos="560"/>
          <w:tab w:val="left" w:pos="540" w:leader="none"/>
        </w:tabs>
        <w:jc w:val="start"/>
        <w:rPr>
          <w:b/>
          <w:bCs/>
          <w:sz w:val="26"/>
        </w:rPr>
      </w:pPr>
      <w:r>
        <w:rPr>
          <w:b/>
          <w:bCs/>
          <w:sz w:val="26"/>
        </w:rPr>
        <w:t>2.</w:t>
        <w:tab/>
        <w:t>INSURANCE</w:t>
      </w:r>
    </w:p>
    <w:p>
      <w:pPr>
        <w:pStyle w:val="Normal"/>
        <w:tabs>
          <w:tab w:val="clear" w:pos="560"/>
          <w:tab w:val="left" w:pos="540" w:leader="none"/>
        </w:tabs>
        <w:jc w:val="start"/>
        <w:rPr>
          <w:b/>
          <w:bCs/>
          <w:sz w:val="26"/>
        </w:rPr>
      </w:pPr>
      <w:r>
        <w:rPr>
          <w:b/>
          <w:bCs/>
          <w:sz w:val="26"/>
        </w:rPr>
      </w:r>
    </w:p>
    <w:p>
      <w:pPr>
        <w:pStyle w:val="21"/>
        <w:rPr/>
      </w:pPr>
      <w:r>
        <w:rPr/>
        <w:t>Derivatives will not be considered as insurance contracts and therefore will not be subject to insurance regulations in the ROC.</w:t>
      </w:r>
    </w:p>
    <w:p>
      <w:pPr>
        <w:pStyle w:val="Normal"/>
        <w:tabs>
          <w:tab w:val="clear" w:pos="560"/>
          <w:tab w:val="left" w:pos="540" w:leader="none"/>
        </w:tabs>
        <w:ind w:start="540" w:end="0"/>
        <w:jc w:val="start"/>
        <w:rPr>
          <w:sz w:val="26"/>
        </w:rPr>
      </w:pPr>
      <w:r>
        <w:rPr>
          <w:sz w:val="26"/>
        </w:rPr>
      </w:r>
    </w:p>
    <w:p>
      <w:pPr>
        <w:pStyle w:val="Normal"/>
        <w:jc w:val="start"/>
        <w:rPr>
          <w:b/>
          <w:bCs/>
          <w:sz w:val="26"/>
        </w:rPr>
      </w:pPr>
      <w:r>
        <w:rPr>
          <w:b/>
          <w:bCs/>
          <w:sz w:val="26"/>
        </w:rPr>
      </w:r>
    </w:p>
    <w:p>
      <w:pPr>
        <w:pStyle w:val="Heading5"/>
        <w:numPr>
          <w:ilvl w:val="0"/>
          <w:numId w:val="6"/>
        </w:numPr>
        <w:rPr/>
      </w:pPr>
      <w:r>
        <w:rPr/>
        <w:t>ADDITIONAL ISSUES RELATING TO PHYSICAL TRADES</w:t>
      </w:r>
    </w:p>
    <w:p>
      <w:pPr>
        <w:pStyle w:val="Normal"/>
        <w:rPr/>
      </w:pPr>
      <w:r>
        <w:rPr/>
      </w:r>
    </w:p>
    <w:p>
      <w:pPr>
        <w:pStyle w:val="Normal"/>
        <w:numPr>
          <w:ilvl w:val="1"/>
          <w:numId w:val="6"/>
        </w:numPr>
        <w:tabs>
          <w:tab w:val="clear" w:pos="560"/>
        </w:tabs>
        <w:ind w:hanging="1044" w:start="1044" w:end="0"/>
        <w:rPr>
          <w:b/>
          <w:bCs/>
        </w:rPr>
      </w:pPr>
      <w:r>
        <w:rPr>
          <w:b/>
          <w:bCs/>
        </w:rPr>
        <w:t>CUSTOMS/DUTIES</w:t>
      </w:r>
    </w:p>
    <w:p>
      <w:pPr>
        <w:pStyle w:val="Normal"/>
        <w:ind w:start="560" w:end="0"/>
        <w:rPr>
          <w:b/>
          <w:bCs/>
        </w:rPr>
      </w:pPr>
      <w:r>
        <w:rPr>
          <w:b/>
          <w:bCs/>
        </w:rPr>
      </w:r>
    </w:p>
    <w:p>
      <w:pPr>
        <w:pStyle w:val="BodyTextIndent"/>
        <w:ind w:start="0" w:end="0"/>
        <w:rPr/>
      </w:pPr>
      <w:r>
        <w:rPr/>
        <w:t>No.</w:t>
      </w:r>
    </w:p>
    <w:p>
      <w:pPr>
        <w:pStyle w:val="Normal"/>
        <w:ind w:start="560" w:end="0"/>
        <w:rPr/>
      </w:pPr>
      <w:r>
        <w:rPr/>
      </w:r>
    </w:p>
    <w:p>
      <w:pPr>
        <w:pStyle w:val="Normal"/>
        <w:numPr>
          <w:ilvl w:val="1"/>
          <w:numId w:val="6"/>
        </w:numPr>
        <w:tabs>
          <w:tab w:val="clear" w:pos="560"/>
        </w:tabs>
        <w:ind w:hanging="1044" w:start="1044" w:end="0"/>
        <w:rPr>
          <w:b/>
          <w:bCs/>
        </w:rPr>
      </w:pPr>
      <w:r>
        <w:rPr>
          <w:b/>
          <w:bCs/>
        </w:rPr>
        <w:t>ENVIRONMENTAL LAW</w:t>
      </w:r>
    </w:p>
    <w:p>
      <w:pPr>
        <w:pStyle w:val="Normal"/>
        <w:rPr>
          <w:b/>
          <w:bCs/>
        </w:rPr>
      </w:pPr>
      <w:r>
        <w:rPr>
          <w:b/>
          <w:bCs/>
        </w:rPr>
      </w:r>
    </w:p>
    <w:p>
      <w:pPr>
        <w:pStyle w:val="Normal"/>
        <w:ind w:hanging="538" w:start="538" w:end="0"/>
        <w:rPr/>
      </w:pPr>
      <w:r>
        <w:rPr/>
        <w:t>2(a)</w:t>
        <w:tab/>
        <w:t>There are no special shipping/maritime, environmental, health or safety laws to which Enron would be subject in connection with the physical trading activities.</w:t>
      </w:r>
    </w:p>
    <w:p>
      <w:pPr>
        <w:pStyle w:val="Normal"/>
        <w:rPr/>
      </w:pPr>
      <w:r>
        <w:rPr/>
      </w:r>
    </w:p>
    <w:p>
      <w:pPr>
        <w:pStyle w:val="Normal"/>
        <w:ind w:hanging="538" w:start="538" w:end="0"/>
        <w:rPr/>
      </w:pPr>
      <w:r>
        <w:rPr/>
        <w:t>2(b)</w:t>
        <w:tab/>
        <w:t>It stipulates in Article 50 of the Rules Governing the Handing of Sea Pollution (the "Sea Pollution Rules") that if the captain of a vessel fails to take urgent methods to prevent petroleum from spilling into the sea and report to the competent authority for rescue when the vessel loaded with petroleum due to accidents sank, got stranded or out of function spilled petroleum in the commercial harbor area or its nearby areas, the captain or owner of the vessel shall be punished with a fine from NT$10,000 to NT$100,000.  The captain or owner shall also be liable for the damages so caused.  There are no Spill taxes.</w:t>
      </w:r>
    </w:p>
    <w:p>
      <w:pPr>
        <w:pStyle w:val="Normal"/>
        <w:rPr>
          <w:b/>
          <w:bCs/>
        </w:rPr>
      </w:pPr>
      <w:r>
        <w:rPr>
          <w:b/>
          <w:bCs/>
        </w:rPr>
      </w:r>
    </w:p>
    <w:p>
      <w:pPr>
        <w:pStyle w:val="Normal"/>
        <w:ind w:firstLine="2" w:start="538" w:end="0"/>
        <w:rPr/>
      </w:pPr>
      <w:r>
        <w:rPr/>
        <w:t>Pursuant to Article 45 of the Sea Pollution Rules, when the vessel leaks petroleum or noxious materials in a massive scale, the captain or owner of the vessel shall take prompt methods to prevent petroleum or noxious materials form spilling of spreading and shall clean up the spilt petroleum or noxious materials.  If the event occurred in the commercial harbor area or its nearby areas, the shipper or consignee shall also take necessary methods to prevent damages.</w:t>
      </w:r>
    </w:p>
    <w:p>
      <w:pPr>
        <w:pStyle w:val="Normal"/>
        <w:rPr/>
      </w:pPr>
      <w:r>
        <w:rPr/>
      </w:r>
    </w:p>
    <w:p>
      <w:pPr>
        <w:pStyle w:val="Normal"/>
        <w:ind w:start="538" w:end="0"/>
        <w:rPr/>
      </w:pPr>
      <w:r>
        <w:rPr/>
        <w:t>A separate corporate entity may be formed to conduct environmentally hazardous activities, however, the owner and affiliate of the corporate may not be free from liability as stated above.</w:t>
      </w:r>
    </w:p>
    <w:p>
      <w:pPr>
        <w:pStyle w:val="Normal"/>
        <w:rPr>
          <w:b/>
          <w:bCs/>
        </w:rPr>
      </w:pPr>
      <w:r>
        <w:rPr>
          <w:b/>
          <w:bCs/>
        </w:rPr>
      </w:r>
    </w:p>
    <w:p>
      <w:pPr>
        <w:pStyle w:val="Normal"/>
        <w:numPr>
          <w:ilvl w:val="1"/>
          <w:numId w:val="6"/>
        </w:numPr>
        <w:tabs>
          <w:tab w:val="clear" w:pos="560"/>
        </w:tabs>
        <w:ind w:hanging="1044" w:start="1044" w:end="0"/>
        <w:rPr>
          <w:b/>
          <w:bCs/>
        </w:rPr>
      </w:pPr>
      <w:r>
        <w:rPr>
          <w:b/>
          <w:bCs/>
        </w:rPr>
        <w:t>BOYCOTT LAWS</w:t>
      </w:r>
    </w:p>
    <w:p>
      <w:pPr>
        <w:pStyle w:val="Normal"/>
        <w:rPr>
          <w:b/>
          <w:bCs/>
        </w:rPr>
      </w:pPr>
      <w:r>
        <w:rPr>
          <w:b/>
          <w:bCs/>
        </w:rPr>
      </w:r>
    </w:p>
    <w:p>
      <w:pPr>
        <w:pStyle w:val="Normal"/>
        <w:rPr/>
      </w:pPr>
      <w:r>
        <w:rPr/>
        <w:t>3(a)</w:t>
        <w:tab/>
        <w:t>No.</w:t>
      </w:r>
    </w:p>
    <w:p>
      <w:pPr>
        <w:pStyle w:val="Normal"/>
        <w:rPr/>
      </w:pPr>
      <w:r>
        <w:rPr/>
      </w:r>
    </w:p>
    <w:p>
      <w:pPr>
        <w:pStyle w:val="Normal"/>
        <w:ind w:hanging="560" w:start="560" w:end="0"/>
        <w:rPr/>
      </w:pPr>
      <w:r>
        <w:rPr/>
        <w:t>3(b)</w:t>
        <w:tab/>
        <w:t>Except that vessels cannot have the flag of "People's Republic of China", there is no other restriction.</w:t>
      </w:r>
    </w:p>
    <w:p>
      <w:pPr>
        <w:pStyle w:val="Normal"/>
        <w:ind w:hanging="560" w:start="560" w:end="0"/>
        <w:rPr/>
      </w:pPr>
      <w:r>
        <w:rPr/>
      </w:r>
    </w:p>
    <w:p>
      <w:pPr>
        <w:pStyle w:val="Normal"/>
        <w:ind w:hanging="560" w:start="560" w:end="0"/>
        <w:rPr/>
      </w:pPr>
      <w:r>
        <w:rPr/>
      </w:r>
    </w:p>
    <w:p>
      <w:pPr>
        <w:pStyle w:val="Normal"/>
        <w:numPr>
          <w:ilvl w:val="0"/>
          <w:numId w:val="6"/>
        </w:numPr>
        <w:jc w:val="start"/>
        <w:rPr>
          <w:b/>
          <w:bCs/>
          <w:sz w:val="26"/>
        </w:rPr>
      </w:pPr>
      <w:r>
        <w:rPr>
          <w:b/>
          <w:bCs/>
          <w:sz w:val="26"/>
        </w:rPr>
        <w:t>ISSUES RELATING TO ENRONONLINE</w:t>
      </w:r>
    </w:p>
    <w:p>
      <w:pPr>
        <w:pStyle w:val="Normal"/>
        <w:jc w:val="start"/>
        <w:rPr>
          <w:b/>
          <w:bCs/>
          <w:sz w:val="26"/>
        </w:rPr>
      </w:pPr>
      <w:r>
        <w:rPr>
          <w:b/>
          <w:bCs/>
          <w:sz w:val="26"/>
        </w:rPr>
      </w:r>
    </w:p>
    <w:p>
      <w:pPr>
        <w:pStyle w:val="21"/>
        <w:numPr>
          <w:ilvl w:val="1"/>
          <w:numId w:val="6"/>
        </w:numPr>
        <w:tabs>
          <w:tab w:val="clear" w:pos="560"/>
        </w:tabs>
        <w:ind w:hanging="1044" w:start="1044" w:end="0"/>
        <w:rPr/>
      </w:pPr>
      <w:r>
        <w:rPr/>
        <w:t>No.</w:t>
      </w:r>
    </w:p>
    <w:p>
      <w:pPr>
        <w:pStyle w:val="21"/>
        <w:rPr/>
      </w:pPr>
      <w:r>
        <w:rPr/>
      </w:r>
    </w:p>
    <w:p>
      <w:pPr>
        <w:pStyle w:val="21"/>
        <w:numPr>
          <w:ilvl w:val="1"/>
          <w:numId w:val="6"/>
        </w:numPr>
        <w:tabs>
          <w:tab w:val="clear" w:pos="560"/>
        </w:tabs>
        <w:ind w:hanging="1044" w:start="1044" w:end="0"/>
        <w:rPr/>
      </w:pPr>
      <w:r>
        <w:rPr/>
        <w:t>No.</w:t>
      </w:r>
    </w:p>
    <w:p>
      <w:pPr>
        <w:pStyle w:val="21"/>
        <w:rPr/>
      </w:pPr>
      <w:r>
        <w:rPr/>
      </w:r>
    </w:p>
    <w:p>
      <w:pPr>
        <w:pStyle w:val="Normal"/>
        <w:numPr>
          <w:ilvl w:val="1"/>
          <w:numId w:val="6"/>
        </w:numPr>
        <w:tabs>
          <w:tab w:val="clear" w:pos="560"/>
        </w:tabs>
        <w:ind w:hanging="1044" w:start="1044" w:end="0"/>
        <w:jc w:val="start"/>
        <w:rPr>
          <w:sz w:val="26"/>
        </w:rPr>
      </w:pPr>
      <w:r>
        <w:rPr>
          <w:sz w:val="26"/>
        </w:rPr>
        <w:t>No.</w:t>
      </w:r>
    </w:p>
    <w:p>
      <w:pPr>
        <w:pStyle w:val="Normal"/>
        <w:jc w:val="start"/>
        <w:rPr>
          <w:sz w:val="26"/>
        </w:rPr>
      </w:pPr>
      <w:r>
        <w:rPr>
          <w:sz w:val="26"/>
        </w:rPr>
      </w:r>
    </w:p>
    <w:p>
      <w:pPr>
        <w:pStyle w:val="Normal"/>
        <w:numPr>
          <w:ilvl w:val="1"/>
          <w:numId w:val="6"/>
        </w:numPr>
        <w:tabs>
          <w:tab w:val="clear" w:pos="560"/>
        </w:tabs>
        <w:ind w:hanging="1044" w:start="1044" w:end="0"/>
        <w:jc w:val="start"/>
        <w:rPr>
          <w:sz w:val="26"/>
        </w:rPr>
      </w:pPr>
      <w:r>
        <w:rPr>
          <w:sz w:val="26"/>
        </w:rPr>
        <w:t>There is no such requirement on the part of Enron or Local Counterparty.</w:t>
      </w:r>
    </w:p>
    <w:p>
      <w:pPr>
        <w:pStyle w:val="Normal"/>
        <w:jc w:val="start"/>
        <w:rPr>
          <w:sz w:val="26"/>
        </w:rPr>
      </w:pPr>
      <w:r>
        <w:rPr>
          <w:sz w:val="26"/>
        </w:rPr>
      </w:r>
    </w:p>
    <w:p>
      <w:pPr>
        <w:pStyle w:val="Normal"/>
        <w:numPr>
          <w:ilvl w:val="1"/>
          <w:numId w:val="6"/>
        </w:numPr>
        <w:tabs>
          <w:tab w:val="clear" w:pos="560"/>
        </w:tabs>
        <w:ind w:hanging="1044" w:start="1044" w:end="0"/>
        <w:jc w:val="start"/>
        <w:rPr>
          <w:sz w:val="26"/>
        </w:rPr>
      </w:pPr>
      <w:r>
        <w:rPr>
          <w:sz w:val="26"/>
        </w:rPr>
        <w:t>No.</w:t>
      </w:r>
    </w:p>
    <w:p>
      <w:pPr>
        <w:pStyle w:val="Normal"/>
        <w:jc w:val="start"/>
        <w:rPr>
          <w:sz w:val="26"/>
        </w:rPr>
      </w:pPr>
      <w:r>
        <w:rPr>
          <w:sz w:val="26"/>
        </w:rPr>
      </w:r>
    </w:p>
    <w:p>
      <w:pPr>
        <w:pStyle w:val="Normal"/>
        <w:numPr>
          <w:ilvl w:val="1"/>
          <w:numId w:val="6"/>
        </w:numPr>
        <w:tabs>
          <w:tab w:val="clear" w:pos="560"/>
        </w:tabs>
        <w:ind w:hanging="1044" w:start="1044" w:end="0"/>
        <w:jc w:val="start"/>
        <w:rPr>
          <w:sz w:val="26"/>
        </w:rPr>
      </w:pPr>
      <w:r>
        <w:rPr>
          <w:sz w:val="26"/>
        </w:rPr>
        <w:t>No.</w:t>
      </w:r>
    </w:p>
    <w:p>
      <w:pPr>
        <w:pStyle w:val="Normal"/>
        <w:jc w:val="start"/>
        <w:rPr>
          <w:sz w:val="26"/>
        </w:rPr>
      </w:pPr>
      <w:r>
        <w:rPr>
          <w:sz w:val="26"/>
        </w:rPr>
      </w:r>
    </w:p>
    <w:p>
      <w:pPr>
        <w:pStyle w:val="Normal"/>
        <w:numPr>
          <w:ilvl w:val="1"/>
          <w:numId w:val="6"/>
        </w:numPr>
        <w:tabs>
          <w:tab w:val="clear" w:pos="560"/>
        </w:tabs>
        <w:ind w:hanging="540" w:start="540" w:end="0"/>
        <w:jc w:val="start"/>
        <w:rPr>
          <w:sz w:val="26"/>
        </w:rPr>
      </w:pPr>
      <w:r>
        <w:rPr>
          <w:sz w:val="26"/>
        </w:rPr>
        <w:t>Enron could be deemed having a permanent establishment in Taiwan and could be subject to the Taiwanese corporate income tax.</w:t>
      </w:r>
    </w:p>
    <w:p>
      <w:pPr>
        <w:pStyle w:val="Normal"/>
        <w:jc w:val="start"/>
        <w:rPr>
          <w:sz w:val="26"/>
        </w:rPr>
      </w:pPr>
      <w:r>
        <w:rPr>
          <w:sz w:val="26"/>
        </w:rPr>
      </w:r>
    </w:p>
    <w:p>
      <w:pPr>
        <w:pStyle w:val="Normal"/>
        <w:numPr>
          <w:ilvl w:val="1"/>
          <w:numId w:val="6"/>
        </w:numPr>
        <w:tabs>
          <w:tab w:val="clear" w:pos="560"/>
        </w:tabs>
        <w:ind w:hanging="540" w:start="540" w:end="0"/>
        <w:jc w:val="start"/>
        <w:rPr>
          <w:sz w:val="26"/>
        </w:rPr>
      </w:pPr>
      <w:r>
        <w:rPr>
          <w:sz w:val="26"/>
        </w:rPr>
        <w:t>Please refer to I.5(e) and I.12 above.</w:t>
      </w:r>
    </w:p>
    <w:p>
      <w:pPr>
        <w:pStyle w:val="Normal"/>
        <w:jc w:val="start"/>
        <w:rPr>
          <w:sz w:val="26"/>
        </w:rPr>
      </w:pPr>
      <w:r>
        <w:rPr>
          <w:sz w:val="26"/>
        </w:rPr>
      </w:r>
    </w:p>
    <w:p>
      <w:pPr>
        <w:pStyle w:val="Normal"/>
        <w:numPr>
          <w:ilvl w:val="1"/>
          <w:numId w:val="6"/>
        </w:numPr>
        <w:tabs>
          <w:tab w:val="clear" w:pos="560"/>
        </w:tabs>
        <w:ind w:hanging="540" w:start="540" w:end="0"/>
        <w:jc w:val="start"/>
        <w:rPr>
          <w:sz w:val="26"/>
        </w:rPr>
      </w:pPr>
      <w:r>
        <w:rPr>
          <w:sz w:val="26"/>
        </w:rPr>
        <w:t>Please refer to I.5(e) and I.12 above.</w:t>
      </w:r>
    </w:p>
    <w:p>
      <w:pPr>
        <w:pStyle w:val="Normal"/>
        <w:jc w:val="start"/>
        <w:rPr>
          <w:sz w:val="26"/>
        </w:rPr>
      </w:pPr>
      <w:r>
        <w:rPr>
          <w:sz w:val="26"/>
        </w:rPr>
      </w:r>
    </w:p>
    <w:p>
      <w:pPr>
        <w:pStyle w:val="Normal"/>
        <w:numPr>
          <w:ilvl w:val="1"/>
          <w:numId w:val="6"/>
        </w:numPr>
        <w:tabs>
          <w:tab w:val="clear" w:pos="560"/>
        </w:tabs>
        <w:ind w:hanging="540" w:start="540" w:end="0"/>
        <w:jc w:val="start"/>
        <w:rPr>
          <w:sz w:val="26"/>
        </w:rPr>
      </w:pPr>
      <w:r>
        <w:rPr>
          <w:sz w:val="26"/>
        </w:rPr>
        <w:t>As of today, we fail to see any development.</w:t>
      </w:r>
    </w:p>
    <w:p>
      <w:pPr>
        <w:pStyle w:val="Normal"/>
        <w:jc w:val="start"/>
        <w:rPr>
          <w:sz w:val="26"/>
        </w:rPr>
      </w:pPr>
      <w:r>
        <w:rPr>
          <w:sz w:val="26"/>
        </w:rPr>
      </w:r>
    </w:p>
    <w:p>
      <w:pPr>
        <w:pStyle w:val="Normal"/>
        <w:numPr>
          <w:ilvl w:val="1"/>
          <w:numId w:val="6"/>
        </w:numPr>
        <w:tabs>
          <w:tab w:val="clear" w:pos="560"/>
        </w:tabs>
        <w:ind w:hanging="540" w:start="540" w:end="0"/>
        <w:jc w:val="start"/>
        <w:rPr>
          <w:sz w:val="26"/>
        </w:rPr>
      </w:pPr>
      <w:r>
        <w:rPr>
          <w:sz w:val="26"/>
        </w:rPr>
        <w:t>The Password Application and the ETA, when duly executed by the Local Counterparty in the way as the same requires, will constitute legal, valid and binding agreements, enforceable in accordance with their respective terms.</w:t>
      </w:r>
    </w:p>
    <w:p>
      <w:pPr>
        <w:pStyle w:val="Normal"/>
        <w:jc w:val="center"/>
        <w:rPr>
          <w:b/>
          <w:bCs/>
          <w:sz w:val="26"/>
        </w:rPr>
      </w:pPr>
      <w:r>
        <w:rPr>
          <w:b/>
          <w:bCs/>
          <w:sz w:val="26"/>
        </w:rPr>
      </w:r>
    </w:p>
    <w:p>
      <w:pPr>
        <w:pStyle w:val="Normal"/>
        <w:jc w:val="center"/>
        <w:rPr>
          <w:b/>
          <w:bCs/>
          <w:sz w:val="26"/>
        </w:rPr>
      </w:pPr>
      <w:r>
        <w:rPr>
          <w:b/>
          <w:bCs/>
          <w:sz w:val="26"/>
        </w:rPr>
        <w:t>- end -</w:t>
      </w:r>
    </w:p>
    <w:sectPr>
      <w:headerReference w:type="default" r:id="rId2"/>
      <w:footerReference w:type="default" r:id="rId3"/>
      <w:type w:val="nextPage"/>
      <w:pgSz w:w="11906" w:h="16838"/>
      <w:pgMar w:left="1418" w:right="1418" w:gutter="0" w:header="697" w:top="1418" w:footer="697" w:bottom="1418"/>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4860" w:leader="none"/>
        <w:tab w:val="right" w:pos="9000" w:leader="none"/>
      </w:tabs>
      <w:spacing w:lineRule="auto" w:line="240"/>
      <w:rPr/>
    </w:pPr>
    <w:r>
      <w:rPr>
        <w:sz w:val="12"/>
      </w:rPr>
      <w:fldChar w:fldCharType="begin"/>
    </w:r>
    <w:r>
      <w:rPr>
        <w:sz w:val="12"/>
      </w:rPr>
      <w:instrText xml:space="preserve"> FILENAME \p </w:instrText>
    </w:r>
    <w:r>
      <w:rPr>
        <w:sz w:val="12"/>
      </w:rPr>
      <w:fldChar w:fldCharType="separate"/>
    </w:r>
    <w:r>
      <w:rPr>
        <w:sz w:val="12"/>
      </w:rPr>
      <w:t>/mnt/main-storage/datasets/enron-docs/doc/Taiwan_Survey.doc</w:t>
    </w:r>
    <w:r>
      <w:rPr>
        <w:sz w:val="12"/>
      </w:rPr>
      <w:fldChar w:fldCharType="end"/>
    </w:r>
    <w:r>
      <w:rPr>
        <w:rFonts w:eastAsia="Times New Roman"/>
        <w:sz w:val="12"/>
      </w:rPr>
      <w:t xml:space="preserve"> </w:t>
    </w:r>
    <w:r>
      <w:fldChar w:fldCharType="begin"/>
    </w:r>
    <w:r>
      <w:rPr>
        <w:sz w:val="12"/>
      </w:rPr>
      <w:instrText xml:space="preserve"> SECTION  \* MERGEFORMAT </w:instrText>
    </w:r>
    <w:r>
      <w:rPr>
        <w:sz w:val="12"/>
      </w:rPr>
    </w:r>
    <w:r>
      <w:rPr>
        <w:sz w:val="12"/>
      </w:rPr>
      <w:fldChar w:fldCharType="separate"/>
    </w:r>
    <w:r>
      <w:rPr>
        <w:sz w:val="12"/>
      </w:rPr>
      <w:t>1</w:t>
    </w:r>
    <w:r>
      <w:rPr>
        <w:sz w:val="12"/>
      </w:rPr>
    </w:r>
    <w:r>
      <w:rPr>
        <w:sz w:val="12"/>
      </w:rPr>
      <w:fldChar w:fldCharType="end"/>
    </w:r>
    <w:r>
      <w:rPr>
        <w:sz w:val="12"/>
      </w:rPr>
      <w:tab/>
    </w: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564"/>
        </w:tabs>
        <w:ind w:start="564" w:hanging="564"/>
      </w:pPr>
      <w:rPr/>
    </w:lvl>
  </w:abstractNum>
  <w:abstractNum w:abstractNumId="3">
    <w:lvl w:ilvl="0">
      <w:start w:val="1"/>
      <w:numFmt w:val="decimal"/>
      <w:lvlText w:val="(%1)"/>
      <w:lvlJc w:val="start"/>
      <w:pPr>
        <w:tabs>
          <w:tab w:val="num" w:pos="560"/>
        </w:tabs>
        <w:ind w:start="564" w:hanging="564"/>
      </w:pPr>
    </w:lvl>
    <w:lvl w:ilvl="1">
      <w:start w:val="1"/>
      <w:numFmt w:val="ideographTraditional"/>
      <w:lvlText w:val="%2、"/>
      <w:lvlJc w:val="start"/>
      <w:pPr>
        <w:tabs>
          <w:tab w:val="num" w:pos="480"/>
        </w:tabs>
        <w:ind w:start="1044" w:hanging="480"/>
      </w:pPr>
    </w:lvl>
    <w:lvl w:ilvl="2">
      <w:start w:val="1"/>
      <w:numFmt w:val="lowerRoman"/>
      <w:lvlText w:val="%3."/>
      <w:lvlJc w:val="start"/>
      <w:pPr>
        <w:tabs>
          <w:tab w:val="num" w:pos="480"/>
        </w:tabs>
        <w:ind w:start="1524" w:hanging="480"/>
      </w:pPr>
    </w:lvl>
    <w:lvl w:ilvl="3">
      <w:start w:val="1"/>
      <w:numFmt w:val="decimal"/>
      <w:lvlText w:val="%4."/>
      <w:lvlJc w:val="start"/>
      <w:pPr>
        <w:tabs>
          <w:tab w:val="num" w:pos="480"/>
        </w:tabs>
        <w:ind w:start="2004" w:hanging="480"/>
      </w:pPr>
    </w:lvl>
    <w:lvl w:ilvl="4">
      <w:start w:val="1"/>
      <w:numFmt w:val="ideographTraditional"/>
      <w:lvlText w:val="%5、"/>
      <w:lvlJc w:val="start"/>
      <w:pPr>
        <w:tabs>
          <w:tab w:val="num" w:pos="480"/>
        </w:tabs>
        <w:ind w:start="2484" w:hanging="480"/>
      </w:pPr>
    </w:lvl>
    <w:lvl w:ilvl="5">
      <w:start w:val="1"/>
      <w:numFmt w:val="lowerRoman"/>
      <w:lvlText w:val="%6."/>
      <w:lvlJc w:val="start"/>
      <w:pPr>
        <w:tabs>
          <w:tab w:val="num" w:pos="480"/>
        </w:tabs>
        <w:ind w:start="2964" w:hanging="480"/>
      </w:pPr>
    </w:lvl>
    <w:lvl w:ilvl="6">
      <w:start w:val="1"/>
      <w:numFmt w:val="decimal"/>
      <w:lvlText w:val="%7."/>
      <w:lvlJc w:val="start"/>
      <w:pPr>
        <w:tabs>
          <w:tab w:val="num" w:pos="480"/>
        </w:tabs>
        <w:ind w:start="3444" w:hanging="480"/>
      </w:pPr>
    </w:lvl>
    <w:lvl w:ilvl="7">
      <w:start w:val="1"/>
      <w:numFmt w:val="ideographTraditional"/>
      <w:lvlText w:val="%8、"/>
      <w:lvlJc w:val="start"/>
      <w:pPr>
        <w:tabs>
          <w:tab w:val="num" w:pos="480"/>
        </w:tabs>
        <w:ind w:start="3924" w:hanging="480"/>
      </w:pPr>
    </w:lvl>
    <w:lvl w:ilvl="8">
      <w:start w:val="1"/>
      <w:numFmt w:val="lowerRoman"/>
      <w:lvlText w:val="%9."/>
      <w:lvlJc w:val="start"/>
      <w:pPr>
        <w:tabs>
          <w:tab w:val="num" w:pos="480"/>
        </w:tabs>
        <w:ind w:start="4404" w:hanging="480"/>
      </w:pPr>
    </w:lvl>
  </w:abstractNum>
  <w:abstractNum w:abstractNumId="4">
    <w:lvl w:ilvl="0">
      <w:start w:val="1"/>
      <w:numFmt w:val="upperLetter"/>
      <w:lvlText w:val="(%1)"/>
      <w:lvlJc w:val="start"/>
      <w:pPr>
        <w:tabs>
          <w:tab w:val="num" w:pos="900"/>
        </w:tabs>
        <w:ind w:start="900" w:hanging="360"/>
      </w:pPr>
      <w:rPr/>
    </w:lvl>
  </w:abstractNum>
  <w:abstractNum w:abstractNumId="5">
    <w:lvl w:ilvl="0">
      <w:start w:val="2"/>
      <w:numFmt w:val="decimal"/>
      <w:lvlText w:val="%1."/>
      <w:lvlJc w:val="start"/>
      <w:pPr>
        <w:tabs>
          <w:tab w:val="num" w:pos="564"/>
        </w:tabs>
        <w:ind w:start="564" w:hanging="564"/>
      </w:pPr>
    </w:lvl>
    <w:lvl w:ilvl="1">
      <w:start w:val="1"/>
      <w:numFmt w:val="ideographTraditional"/>
      <w:lvlText w:val="%2、"/>
      <w:lvlJc w:val="start"/>
      <w:pPr>
        <w:tabs>
          <w:tab w:val="num" w:pos="480"/>
        </w:tabs>
        <w:ind w:start="1044" w:hanging="480"/>
      </w:pPr>
    </w:lvl>
    <w:lvl w:ilvl="2">
      <w:start w:val="1"/>
      <w:numFmt w:val="lowerRoman"/>
      <w:lvlText w:val="%3."/>
      <w:lvlJc w:val="start"/>
      <w:pPr>
        <w:tabs>
          <w:tab w:val="num" w:pos="480"/>
        </w:tabs>
        <w:ind w:start="1524" w:hanging="480"/>
      </w:pPr>
    </w:lvl>
    <w:lvl w:ilvl="3">
      <w:start w:val="1"/>
      <w:numFmt w:val="decimal"/>
      <w:lvlText w:val="%4."/>
      <w:lvlJc w:val="start"/>
      <w:pPr>
        <w:tabs>
          <w:tab w:val="num" w:pos="480"/>
        </w:tabs>
        <w:ind w:start="2004" w:hanging="480"/>
      </w:pPr>
    </w:lvl>
    <w:lvl w:ilvl="4">
      <w:start w:val="1"/>
      <w:numFmt w:val="ideographTraditional"/>
      <w:lvlText w:val="%5、"/>
      <w:lvlJc w:val="start"/>
      <w:pPr>
        <w:tabs>
          <w:tab w:val="num" w:pos="480"/>
        </w:tabs>
        <w:ind w:start="2484" w:hanging="480"/>
      </w:pPr>
    </w:lvl>
    <w:lvl w:ilvl="5">
      <w:start w:val="1"/>
      <w:numFmt w:val="lowerRoman"/>
      <w:lvlText w:val="%6."/>
      <w:lvlJc w:val="start"/>
      <w:pPr>
        <w:tabs>
          <w:tab w:val="num" w:pos="480"/>
        </w:tabs>
        <w:ind w:start="2964" w:hanging="480"/>
      </w:pPr>
    </w:lvl>
    <w:lvl w:ilvl="6">
      <w:start w:val="1"/>
      <w:numFmt w:val="decimal"/>
      <w:lvlText w:val="%7."/>
      <w:lvlJc w:val="start"/>
      <w:pPr>
        <w:tabs>
          <w:tab w:val="num" w:pos="480"/>
        </w:tabs>
        <w:ind w:start="3444" w:hanging="480"/>
      </w:pPr>
    </w:lvl>
    <w:lvl w:ilvl="7">
      <w:start w:val="1"/>
      <w:numFmt w:val="ideographTraditional"/>
      <w:lvlText w:val="%8、"/>
      <w:lvlJc w:val="start"/>
      <w:pPr>
        <w:tabs>
          <w:tab w:val="num" w:pos="480"/>
        </w:tabs>
        <w:ind w:start="3924" w:hanging="480"/>
      </w:pPr>
    </w:lvl>
    <w:lvl w:ilvl="8">
      <w:start w:val="1"/>
      <w:numFmt w:val="lowerRoman"/>
      <w:lvlText w:val="%9."/>
      <w:lvlJc w:val="start"/>
      <w:pPr>
        <w:tabs>
          <w:tab w:val="num" w:pos="480"/>
        </w:tabs>
        <w:ind w:start="4404" w:hanging="480"/>
      </w:pPr>
    </w:lvl>
  </w:abstractNum>
  <w:abstractNum w:abstractNumId="6">
    <w:lvl w:ilvl="0">
      <w:start w:val="1"/>
      <w:numFmt w:val="upperRoman"/>
      <w:lvlText w:val="%1."/>
      <w:lvlJc w:val="start"/>
      <w:pPr>
        <w:tabs>
          <w:tab w:val="num" w:pos="720"/>
        </w:tabs>
        <w:ind w:start="720" w:hanging="720"/>
      </w:pPr>
      <w:rPr/>
    </w:lvl>
    <w:lvl w:ilvl="1">
      <w:start w:val="1"/>
      <w:numFmt w:val="decimal"/>
      <w:lvlText w:val="%2."/>
      <w:lvlJc w:val="start"/>
      <w:pPr>
        <w:tabs>
          <w:tab w:val="num" w:pos="560"/>
        </w:tabs>
        <w:ind w:start="1044" w:hanging="564"/>
      </w:pPr>
      <w:rPr/>
    </w:lvl>
    <w:lvl w:ilvl="2">
      <w:start w:val="1"/>
      <w:numFmt w:val="lowerRoman"/>
      <w:lvlText w:val="%3."/>
      <w:lvlJc w:val="end"/>
      <w:pPr>
        <w:tabs>
          <w:tab w:val="num" w:pos="1440"/>
        </w:tabs>
        <w:ind w:start="1440" w:hanging="480"/>
      </w:pPr>
    </w:lvl>
    <w:lvl w:ilvl="3">
      <w:start w:val="1"/>
      <w:numFmt w:val="decimal"/>
      <w:lvlText w:val="%4."/>
      <w:lvlJc w:val="start"/>
      <w:pPr>
        <w:tabs>
          <w:tab w:val="num" w:pos="1920"/>
        </w:tabs>
        <w:ind w:start="1920" w:hanging="480"/>
      </w:pPr>
    </w:lvl>
    <w:lvl w:ilvl="4">
      <w:start w:val="1"/>
      <w:numFmt w:val="ideographTraditional"/>
      <w:lvlText w:val="%5、"/>
      <w:lvlJc w:val="start"/>
      <w:pPr>
        <w:tabs>
          <w:tab w:val="num" w:pos="2400"/>
        </w:tabs>
        <w:ind w:start="2400" w:hanging="480"/>
      </w:pPr>
    </w:lvl>
    <w:lvl w:ilvl="5">
      <w:start w:val="1"/>
      <w:numFmt w:val="lowerRoman"/>
      <w:lvlText w:val="%6."/>
      <w:lvlJc w:val="end"/>
      <w:pPr>
        <w:tabs>
          <w:tab w:val="num" w:pos="2880"/>
        </w:tabs>
        <w:ind w:start="2880" w:hanging="480"/>
      </w:pPr>
    </w:lvl>
    <w:lvl w:ilvl="6">
      <w:start w:val="1"/>
      <w:numFmt w:val="decimal"/>
      <w:lvlText w:val="%7."/>
      <w:lvlJc w:val="start"/>
      <w:pPr>
        <w:tabs>
          <w:tab w:val="num" w:pos="3360"/>
        </w:tabs>
        <w:ind w:start="3360" w:hanging="480"/>
      </w:pPr>
    </w:lvl>
    <w:lvl w:ilvl="7">
      <w:start w:val="1"/>
      <w:numFmt w:val="ideographTraditional"/>
      <w:lvlText w:val="%8、"/>
      <w:lvlJc w:val="start"/>
      <w:pPr>
        <w:tabs>
          <w:tab w:val="num" w:pos="3840"/>
        </w:tabs>
        <w:ind w:start="3840" w:hanging="480"/>
      </w:pPr>
    </w:lvl>
    <w:lvl w:ilvl="8">
      <w:start w:val="1"/>
      <w:numFmt w:val="lowerRoman"/>
      <w:lvlText w:val="%9."/>
      <w:lvlJc w:val="end"/>
      <w:pPr>
        <w:tabs>
          <w:tab w:val="num" w:pos="4320"/>
        </w:tabs>
        <w:ind w:start="4320" w:hanging="480"/>
      </w:pPr>
    </w:lvl>
  </w:abstractNum>
  <w:abstractNum w:abstractNumId="7">
    <w:lvl w:ilvl="0">
      <w:start w:val="11"/>
      <w:numFmt w:val="decimal"/>
      <w:lvlText w:val="%1."/>
      <w:lvlJc w:val="start"/>
      <w:pPr>
        <w:tabs>
          <w:tab w:val="num" w:pos="560"/>
        </w:tabs>
        <w:ind w:start="9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5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napToGrid w:val="false"/>
      <w:spacing w:lineRule="atLeast" w:line="360"/>
      <w:jc w:val="both"/>
    </w:pPr>
    <w:rPr>
      <w:rFonts w:ascii="Times New Roman" w:hAnsi="Times New Roman" w:eastAsia="華康楷書體W5" w:cs="Times New Roman"/>
      <w:color w:val="auto"/>
      <w:sz w:val="28"/>
      <w:szCs w:val="24"/>
      <w:lang w:val="en-US" w:eastAsia="zh-TW" w:bidi="ar-SA"/>
    </w:rPr>
  </w:style>
  <w:style w:type="paragraph" w:styleId="Heading1">
    <w:name w:val="heading 1"/>
    <w:basedOn w:val="Normal"/>
    <w:next w:val="Normal"/>
    <w:qFormat/>
    <w:pPr>
      <w:keepNext w:val="true"/>
      <w:numPr>
        <w:ilvl w:val="0"/>
        <w:numId w:val="1"/>
      </w:numPr>
      <w:spacing w:before="60" w:after="60"/>
      <w:jc w:val="start"/>
      <w:outlineLvl w:val="0"/>
    </w:pPr>
    <w:rPr>
      <w:rFonts w:ascii="Arial" w:hAnsi="Arial" w:cs="Arial"/>
      <w:b/>
      <w:bCs/>
      <w:color w:val="000000"/>
      <w:sz w:val="36"/>
      <w:szCs w:val="52"/>
    </w:rPr>
  </w:style>
  <w:style w:type="paragraph" w:styleId="Heading2">
    <w:name w:val="heading 2"/>
    <w:basedOn w:val="Normal"/>
    <w:next w:val="Normal"/>
    <w:qFormat/>
    <w:pPr>
      <w:keepNext w:val="true"/>
      <w:numPr>
        <w:ilvl w:val="1"/>
        <w:numId w:val="1"/>
      </w:numPr>
      <w:spacing w:before="60" w:after="60"/>
      <w:outlineLvl w:val="1"/>
    </w:pPr>
    <w:rPr>
      <w:rFonts w:ascii="Arial" w:hAnsi="Arial" w:cs="Arial"/>
      <w:b/>
      <w:bCs/>
      <w:color w:val="000000"/>
      <w:sz w:val="32"/>
      <w:szCs w:val="48"/>
    </w:rPr>
  </w:style>
  <w:style w:type="paragraph" w:styleId="Heading3">
    <w:name w:val="heading 3"/>
    <w:basedOn w:val="Normal"/>
    <w:next w:val="Normal"/>
    <w:qFormat/>
    <w:pPr>
      <w:keepNext w:val="true"/>
      <w:numPr>
        <w:ilvl w:val="2"/>
        <w:numId w:val="1"/>
      </w:numPr>
      <w:spacing w:before="60" w:after="60"/>
      <w:jc w:val="start"/>
      <w:outlineLvl w:val="2"/>
    </w:pPr>
    <w:rPr>
      <w:rFonts w:ascii="Arial" w:hAnsi="Arial" w:cs="Arial"/>
      <w:b/>
      <w:bCs/>
      <w:color w:val="000000"/>
      <w:szCs w:val="36"/>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tabs>
        <w:tab w:val="clear" w:pos="560"/>
        <w:tab w:val="left" w:pos="720" w:leader="none"/>
      </w:tabs>
      <w:jc w:val="start"/>
      <w:outlineLvl w:val="4"/>
    </w:pPr>
    <w:rPr>
      <w:b/>
      <w:bCs/>
      <w:sz w:val="26"/>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WW8Num5z0">
    <w:name w:val="WW8Num5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Style9">
    <w:name w:val="預設段落字型"/>
    <w:qFormat/>
    <w:rPr/>
  </w:style>
  <w:style w:type="character" w:styleId="PageNumber">
    <w:name w:val="page number"/>
    <w:basedOn w:val="Style9"/>
    <w:rPr/>
  </w:style>
  <w:style w:type="paragraph" w:styleId="Heading">
    <w:name w:val="Heading"/>
    <w:basedOn w:val="Normal"/>
    <w:next w:val="BodyText"/>
    <w:qFormat/>
    <w:pPr>
      <w:jc w:val="center"/>
    </w:pPr>
    <w:rPr>
      <w:b/>
      <w:bCs/>
    </w:rPr>
  </w:style>
  <w:style w:type="paragraph" w:styleId="BodyText">
    <w:name w:val="Body Text"/>
    <w:basedOn w:val="Normal"/>
    <w:pPr>
      <w:snapToGrid w:val="true"/>
      <w:textAlignment w:val="baseline"/>
    </w:pPr>
    <w:rPr>
      <w:sz w:val="26"/>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60"/>
        <w:tab w:val="center" w:pos="4986" w:leader="none"/>
        <w:tab w:val="right" w:pos="9972" w:leader="none"/>
      </w:tabs>
    </w:pPr>
    <w:rPr/>
  </w:style>
  <w:style w:type="paragraph" w:styleId="Header">
    <w:name w:val="header"/>
    <w:basedOn w:val="Normal"/>
    <w:pPr>
      <w:tabs>
        <w:tab w:val="clear" w:pos="560"/>
        <w:tab w:val="center" w:pos="4153" w:leader="none"/>
        <w:tab w:val="right" w:pos="8306" w:leader="none"/>
      </w:tabs>
    </w:pPr>
    <w:rPr>
      <w:sz w:val="20"/>
      <w:szCs w:val="20"/>
    </w:rPr>
  </w:style>
  <w:style w:type="paragraph" w:styleId="Footer">
    <w:name w:val="footer"/>
    <w:basedOn w:val="Normal"/>
    <w:pPr>
      <w:tabs>
        <w:tab w:val="clear" w:pos="560"/>
        <w:tab w:val="center" w:pos="4153" w:leader="none"/>
        <w:tab w:val="right" w:pos="8306" w:leader="none"/>
      </w:tabs>
    </w:pPr>
    <w:rPr>
      <w:sz w:val="20"/>
      <w:szCs w:val="20"/>
    </w:rPr>
  </w:style>
  <w:style w:type="paragraph" w:styleId="BodyTextIndent">
    <w:name w:val="Body Text Indent"/>
    <w:basedOn w:val="Normal"/>
    <w:pPr>
      <w:ind w:hanging="0" w:start="560" w:end="0"/>
    </w:pPr>
    <w:rPr/>
  </w:style>
  <w:style w:type="paragraph" w:styleId="2">
    <w:name w:val="本文縮排 2"/>
    <w:basedOn w:val="Normal"/>
    <w:qFormat/>
    <w:pPr>
      <w:ind w:hanging="720" w:start="720" w:end="0"/>
    </w:pPr>
    <w:rPr/>
  </w:style>
  <w:style w:type="paragraph" w:styleId="BodyText2">
    <w:name w:val="Body Text 2"/>
    <w:basedOn w:val="Normal"/>
    <w:qFormat/>
    <w:pPr>
      <w:snapToGrid w:val="true"/>
      <w:ind w:hanging="1079" w:start="1079" w:end="0"/>
      <w:textAlignment w:val="baseline"/>
    </w:pPr>
    <w:rPr>
      <w:sz w:val="26"/>
      <w:szCs w:val="20"/>
    </w:rPr>
  </w:style>
  <w:style w:type="paragraph" w:styleId="3">
    <w:name w:val="本文縮排 3"/>
    <w:basedOn w:val="Normal"/>
    <w:qFormat/>
    <w:pPr>
      <w:ind w:hanging="538" w:start="538" w:end="0"/>
    </w:pPr>
    <w:rPr>
      <w:sz w:val="26"/>
    </w:rPr>
  </w:style>
  <w:style w:type="paragraph" w:styleId="21">
    <w:name w:val="本文 2"/>
    <w:basedOn w:val="Normal"/>
    <w:qFormat/>
    <w:pPr>
      <w:jc w:val="start"/>
    </w:pPr>
    <w:rPr>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2000-09-22T07:39:00Z</dcterms:created>
  <dc:creator>董學琳</dc:creator>
  <dc:description/>
  <dc:language>en-CA</dc:language>
  <cp:lastModifiedBy>董學琳</cp:lastModifiedBy>
  <cp:lastPrinted>2000-09-22T22:35:00Z</cp:lastPrinted>
  <dcterms:modified xsi:type="dcterms:W3CDTF">2000-09-22T12:17:00Z</dcterms:modified>
  <cp:revision>43</cp:revision>
  <dc:subject/>
  <dc:title>Survey of the Law of the ROC regarding </dc:title>
</cp:coreProperties>
</file>