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TABORS CARAMANIS &amp; ASSOCIATES</w:t>
      </w:r>
    </w:p>
    <w:p>
      <w:pPr>
        <w:pStyle w:val="BodyText"/>
        <w:rPr/>
      </w:pPr>
      <w:r>
        <w:rPr/>
      </w:r>
    </w:p>
    <w:p>
      <w:pPr>
        <w:pStyle w:val="BodyText"/>
        <w:rPr/>
      </w:pPr>
      <w:r>
        <w:rPr/>
        <w:t>Notes on Economics of Transmission Restrictions, the Value of Open Access, and Impact of Western Curtailments in Power</w:t>
        <w:br/>
      </w:r>
    </w:p>
    <w:p>
      <w:pPr>
        <w:pStyle w:val="Heading1"/>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Expanding supplies through transmission and retail access</w:t>
      </w:r>
    </w:p>
    <w:p>
      <w:pPr>
        <w:pStyle w:val="Heading1"/>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Argument for cost</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Transmission is currently not open</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Companies strategically use native load exclusion</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Companies “park” energy to block reservations by competitors</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Benefit goes to the trading arm of the company</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Dollar value of this is difficult to even estimate but:</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Parking Analysis:  Based on a very conservative analysis of AEP's exports, imports, generation and load, we estimate that AEP “parked” about 1,000,000 MWh in the summer of 1999.</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This means that AEP appears to have used capacity that was intended for its native load use (and therefore withheld from the competitive market) to import 1,000,000 MWh of energy only to turn around and export it. </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This is about 1% of AEP's annual load obligation.</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Quantification of Transmission System Abuse: We found that AEP in the summer of 1999 has successfully foreclosed competition into key, high-priced markets in its capacity as a transmission provider and security coordinator while simultaneously making profitable sales from its own marketing affiliate into these high-priced markets. </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We found significant activity, for example, in the MECS (Michigan Coordinated Electric Systems) region around Detroit. </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We estimate the impact of this transmission behavior on the competitive wholesale market in MECS alone in the summer of 1999 to be up to 9 million dollars. This is based on the following estimates: </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xml:space="preserve">- Sales volumes by traders (subject to open access) ranged on average between 1,000 and 2000 MW per hour per day in the summer (as reported in Megawatt Daily) for 16 hour peak blocks. </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THere were 14 days in the summer of 1999 where wholesale market prices in MECS exceeded $100/MWh.</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Assume that AEP misused the transmission system (as we empirically observed on 3-4 days) on all these 14 days</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Assume that the resulting withholding of capacity resulted in a price increase of about 20% (which is about the increase in price for a shift in merit order from a 10,000 Btu/kWh heat rate to a 12,500 Btu/kWh heat rate unit)</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Thus, 2,000 MW x 16 hrs x $20/MWh x 14 days = $9 million.</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We can extrapolate these results to the Eastern Interconnect (where the rules we analyzed apply), if one assumes that similar activity occurred at 12 other trading hubs in the Eastern Interconnect (Ameren, Cilco/IP, ComEdBorder, MAIN north, MAPP, Entergy, into SPP, Cinergy,  Southern TVA, into TVA, out of Fla-Ga., Fla.in-state).</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The total estimate of the impact is: $9m x 13 hubs = $117 million in one summer.</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xml:space="preserve">Assuming such behavior occurs on all days of the summer (92 days), you get $0.75 billion as the total impact for one summer. </w:t>
      </w:r>
    </w:p>
    <w:p>
      <w:pPr>
        <w:pStyle w:val="Heading1"/>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Argument for increased reliability</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One of the primary uses of the intercompany transmission system when it was/is part of a vertically integrated utility has been shared capacity</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Based on concept that the probability of unit outages in adjoining systems is low therefore they can share the backup</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The systems generally did not share very widely.  Next door only.</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With open access the market is able to provide this sharing – specifically for the longer time frame reserves such as replacement reserves.</w:t>
      </w:r>
    </w:p>
    <w:p>
      <w:pPr>
        <w:pStyle w:val="Heading1"/>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Argument for increased productivity / reduced capacity requirements to supply the same quantity of energy to end users</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Consider that if there were no physical or economic barriers in the transmission system then the only thing that would differentiate the cost would be losses on the lines.</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Given the above, the whole system would be optimized to operate at least cost and there would effectively be only a single clearing price</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Implication is that all generation would be able to reach all loads (optimally) and that the amount of generation capacity required would be less while assuring that loads would be served by the least costly units.  This could mean a 1-3 % effective increase in supply availability in the Western Interconnection, and a 2-4 % increase in the Eastern Interconnection.   This would mean an increase of between 1,350 and 4,050 MW in the Western Interconnection.  </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This argument can be extended in the case of open access to the fact that with open access the market players will provide the leveling affect so long as they have access to multiple markets.</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Result:  lower costs for all players in the market (better economic signals) and more ability to move energy around – higher short term efficiency.</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Result:  lower capacity requirements as more energy is served out with the same quantity of capacity – higher long term efficiency</w:t>
      </w:r>
    </w:p>
    <w:p>
      <w:pPr>
        <w:pStyle w:val="Heading1"/>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Economic drivers for access</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When we originally looked at open access, both wholesale and retail in 1994:</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The typical wholesale cost of regulated utility power was about 5 to 5.5 cents/kWh and the cost of new generation developed competitively was 3 to 3.5 cents/kWh.  </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Customers were saddled roughly a 2 cent/kWh burden associated with the regulated supplies</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Given the US electricity consumption is about 3,000 billion kilowatt-hours, this was a $60 billion per year transfer from customers to support uneconomic investment</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These dollars are the focus of the stranded cost debate in many states.</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Because prices are above market for customers in many areas, customers consume less, manufacture less, export less, because of this burden.  An generators fail to achieve efficiencies that  have be attained in other markets</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More generation would be added to serve these needs</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xml:space="preserve">The national benefit lost, in addition to the transfers from customers to utilities, is estimated at an additional </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We estimated the additional loss at about $20 billion per year in “producer surplus.”</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We did not include a potential $6 billion in additional “consumer surplus” from expanded electricity use (0.5 long-run demand elasticity on 3 billion kilowatt-hours would expand demand by about 20% in the long-term for 40% decrease in wholesale price of power)</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xml:space="preserve">Revised “old” total: $86 billion/yr </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Right now</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Because of increased gas prices, driven by the cold winter in much of the Southeast and by the electricity shortage in the west, both gas and electricity prices are expected to be higher for the next few years.</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In the short-run, the benefits have been reduced – allowing for a doubling of gas prices, this means the new technologies would be in the 5 cent/kWh range nationwide (2002-2003 period), while the traditional utility average would probably be in the 6 cent /kWh range</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This means the prior consumer benefits are roughly cut in half until more gas supply is on line and prices drop into prior range</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Consumer surplus transferred: $30 billion/yr</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New consumer surplus from increased use: $3 billion/ yr</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Producer surplus: driven higher because of higher fuel prices</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Total under new prices:  $53+ billion/yr</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What is being achieved?</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At the beginning of 2001, we estimate that a maximum of about 1/3 of the retail electricity market is open to competition – and many are operating under flawed schemes that prevent full benefits from being attained.</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We can still gain at least $33 billion per year in benefits.</w:t>
      </w:r>
    </w:p>
    <w:p>
      <w:pPr>
        <w:pStyle w:val="Heading1"/>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What about the mess in California?</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The problem is really an issue for the whole western US:  the worst hydro year since 1977 would cause problems no matter what – and markets can help facilitate the solution.</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The Western US and Canada uses about 750 billion kilowatt-hours per year.  Or about 660 billion kilowatt-hours in the US.</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About 1/3 of the western US/Canadian generation is usually hydro.   </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This year that amount could drop by up to half</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This means 100 to 150 billion kilowatt-hours have to be replaced by increased generation (all oil or gas) or by conservation</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The additional 100 million kilowatt-hours, if all replaced by gas, would require an additional 2.6 billion cubic feet per day to flow into the west, everyday, all year.</w:t>
      </w:r>
    </w:p>
    <w:p>
      <w:pPr>
        <w:pStyle w:val="Heading2"/>
        <w:keepNext w:val="false"/>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The larger commercial and industrial customers are best equipped to handle quick response conservation measures</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Some can tailor their use.  Others, like the aluminum smelters, would just shut down until prices move into the normal range.</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Failure to conserve and move in gas means allocating the electricity another way: rolling black outs are the last resort</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The value of electricity, especially in the West’s growth industries, can be huge:  the unplanned loss of power to some high tech industries can be millions of dollars per site per incident.</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We need to allow users to sort out the highest value uses VERY QUICKLY.</w:t>
      </w:r>
    </w:p>
    <w:p>
      <w:pPr>
        <w:pStyle w:val="Heading3"/>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What is the economic loss from failing to allocate power efficiently?</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Assuming that residential and small commercial customers would be limited in their increase, most of the burden would be on the larger commercial and industrial customers:  perhaps 300 billion kilowatt-hours of current customer load</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If these customers reduce their load by 50 billion kilowatt-hours through conservation (with rest of increment coming from gas/oil generation and residential conservation), it would imply a demand elasticity of 17% associated with a 100% price increase (a doubling of prior prices, more than the 30 – 60% increases planned by the CPUC now)</w:t>
      </w:r>
    </w:p>
    <w:p>
      <w:pPr>
        <w:pStyle w:val="Heading4"/>
        <w:keepNext w:val="false"/>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If we fail to give these price signals, the economic efficiency loss from the shortage gets magnified from 50 billion kilowatt-hours conserved (a potential $1.4 billion loss for just the most responsive sectors!!!) to all sectors of the economy – ones that value the power much more highly</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The estimate for the economic impact of rolling blackouts would involve looking at the losses for the whole demand curve, spread evenly for all customers – and as noted above, some customers have huge value for short-term power.</w:t>
      </w:r>
    </w:p>
    <w:p>
      <w:pPr>
        <w:pStyle w:val="Heading6"/>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If we apply a typical rough $1 per kilowatt-hour “willingness to pay” to the 50 billion kilowatt-hours of potential interruptions this summer, this could be an adverse impact of $50 billion, this year in the West!  </w:t>
      </w:r>
    </w:p>
    <w:p>
      <w:pPr>
        <w:pStyle w:val="Heading6"/>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If we merely apply a rough estimate of the California Stage 3 periods, assuming 34 days for 8 hours for 4000 MW, this is at least $1 billion in impact for this summer alone in California.  </w:t>
      </w:r>
    </w:p>
    <w:p>
      <w:pPr>
        <w:pStyle w:val="Heading6"/>
        <w:ind w:hanging="0" w:start="0"/>
        <w:rPr>
          <w:rFonts w:ascii="Bookman Old Style" w:hAnsi="Bookman Old Style" w:cs="Bookman Old Style"/>
          <w:b w:val="false"/>
          <w:bCs w:val="false"/>
          <w:sz w:val="24"/>
        </w:rPr>
      </w:pPr>
      <w:r>
        <w:rPr>
          <w:rFonts w:cs="Bookman Old Style" w:ascii="Bookman Old Style" w:hAnsi="Bookman Old Style"/>
          <w:b w:val="false"/>
          <w:bCs w:val="false"/>
          <w:sz w:val="24"/>
        </w:rPr>
        <w:t xml:space="preserve">If the 50 billion kilowatt-hours were served by gas-fired generation, at current $13/MMBtu Southern California gas prices, the gas alone would cost about $6.5 billion. </w:t>
      </w:r>
    </w:p>
    <w:p>
      <w:pPr>
        <w:pStyle w:val="Heading5"/>
        <w:ind w:hanging="0" w:start="0"/>
        <w:rPr>
          <w:rFonts w:ascii="Bookman Old Style" w:hAnsi="Bookman Old Style" w:cs="Bookman Old Style"/>
          <w:b w:val="false"/>
          <w:bCs w:val="false"/>
          <w:i w:val="false"/>
          <w:i w:val="false"/>
          <w:iCs w:val="false"/>
          <w:sz w:val="24"/>
        </w:rPr>
      </w:pPr>
      <w:r>
        <w:rPr>
          <w:rFonts w:cs="Bookman Old Style" w:ascii="Bookman Old Style" w:hAnsi="Bookman Old Style"/>
          <w:b w:val="false"/>
          <w:bCs w:val="false"/>
          <w:i w:val="false"/>
          <w:iCs w:val="false"/>
          <w:sz w:val="24"/>
        </w:rPr>
        <w:t xml:space="preserve">The $1 per kilowatt-hour for failing to serve energy may be low.  Many interruptible customers in California chose to not interrupt and pay $9 per kilowatt-hour for avoiding the interruption, especially after repeated prior interruptions – and this is supposedly the group that can interrupt with the least impact on their operations. </w:t>
      </w:r>
    </w:p>
    <w:p>
      <w:pPr>
        <w:pStyle w:val="Normal"/>
        <w:rPr>
          <w:rFonts w:ascii="Bookman Old Style" w:hAnsi="Bookman Old Style" w:cs="Bookman Old Style"/>
          <w:b/>
          <w:bCs/>
          <w:i/>
          <w:i/>
          <w:iCs/>
          <w:sz w:val="24"/>
        </w:rPr>
      </w:pPr>
      <w:r>
        <w:rPr>
          <w:rFonts w:cs="Bookman Old Style" w:ascii="Bookman Old Style" w:hAnsi="Bookman Old Style"/>
          <w:b/>
          <w:bCs/>
          <w:i/>
          <w:iCs/>
          <w:sz w:val="24"/>
        </w:rPr>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Bookman Old Style" w:hAnsi="Bookman Old Style" w:cs="Bookman Old Style"/>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2001-04-20T17:34:00Z</dcterms:created>
  <dc:creator>tabors</dc:creator>
  <dc:description/>
  <dc:language>en-CA</dc:language>
  <cp:lastModifiedBy>lsulliv</cp:lastModifiedBy>
  <dcterms:modified xsi:type="dcterms:W3CDTF">2001-04-20T17:35:00Z</dcterms:modified>
  <cp:revision>3</cp:revision>
  <dc:subject/>
  <dc:title>Expanding supplies through transmission access</dc:title>
</cp:coreProperties>
</file>