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ind w:hanging="0" w:start="0"/>
        <w:rPr>
          <w:sz w:val="20"/>
        </w:rPr>
      </w:pPr>
      <w:r>
        <w:rPr/>
        <w:t xml:space="preserve">  </w:t>
      </w:r>
      <w:r>
        <w:rPr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Heading6"/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ind w:hanging="0" w:start="0"/>
        <w:rPr/>
      </w:pPr>
      <w:r>
        <w:rPr/>
        <w:t xml:space="preserve">ISDA BOARD OF DIRECTORS MEETING </w:t>
      </w:r>
    </w:p>
    <w:p>
      <w:pPr>
        <w:pStyle w:val="Normal"/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E5E5E5" w:val="clear"/>
        <w:tabs>
          <w:tab w:val="clear" w:pos="576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center" w:pos="5256" w:leader="none"/>
        </w:tabs>
        <w:suppressAutoHyphens w:val="true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cs="Times New Roman" w:ascii="Times New Roman" w:hAnsi="Times New Roman"/>
          <w:b/>
          <w:spacing w:val="-3"/>
          <w:sz w:val="28"/>
        </w:rPr>
        <w:t>AGENDA</w:t>
      </w:r>
    </w:p>
    <w:p>
      <w:pPr>
        <w:pStyle w:val="Heading1"/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ind w:hanging="0" w:start="0"/>
        <w:rPr/>
      </w:pPr>
      <w:r>
        <w:rPr/>
        <w:t>SEPTEMBER 13, 2000</w:t>
      </w:r>
    </w:p>
    <w:p>
      <w:pPr>
        <w:pStyle w:val="Normal"/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E5E5E5" w:val="clear"/>
        <w:tabs>
          <w:tab w:val="clear" w:pos="576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center" w:pos="5256" w:leader="none"/>
        </w:tabs>
        <w:suppressAutoHyphens w:val="true"/>
        <w:jc w:val="center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i/>
          <w:spacing w:val="-3"/>
        </w:rPr>
        <w:tab/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</w:r>
    </w:p>
    <w:p>
      <w:pPr>
        <w:pStyle w:val="Normal"/>
        <w:numPr>
          <w:ilvl w:val="0"/>
          <w:numId w:val="5"/>
        </w:numPr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i/>
          <w:i/>
          <w:caps/>
          <w:spacing w:val="-3"/>
        </w:rPr>
      </w:pPr>
      <w:r>
        <w:rPr>
          <w:rFonts w:cs="Times New Roman" w:ascii="Times New Roman" w:hAnsi="Times New Roman"/>
          <w:b/>
          <w:caps/>
          <w:spacing w:val="-3"/>
          <w:u w:val="single"/>
        </w:rPr>
        <w:t>Matters for Vote</w:t>
      </w:r>
      <w:r>
        <w:rPr>
          <w:rFonts w:cs="Times New Roman" w:ascii="Times New Roman" w:hAnsi="Times New Roman"/>
          <w:b/>
          <w:caps/>
          <w:spacing w:val="-3"/>
        </w:rPr>
        <w:t xml:space="preserve"> </w:t>
      </w:r>
      <w:r>
        <w:rPr>
          <w:rFonts w:cs="Times New Roman" w:ascii="Times New Roman" w:hAnsi="Times New Roman"/>
          <w:i/>
          <w:caps/>
          <w:spacing w:val="-3"/>
        </w:rPr>
        <w:t xml:space="preserve"> 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both"/>
        <w:rPr>
          <w:rFonts w:ascii="Times New Roman" w:hAnsi="Times New Roman" w:cs="Times New Roman"/>
          <w:b/>
          <w:i/>
          <w:i/>
          <w:caps/>
          <w:spacing w:val="-3"/>
        </w:rPr>
      </w:pPr>
      <w:r>
        <w:rPr>
          <w:rFonts w:cs="Times New Roman" w:ascii="Times New Roman" w:hAnsi="Times New Roman"/>
          <w:b/>
          <w:i/>
          <w:caps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b/>
          <w:spacing w:val="-3"/>
        </w:rPr>
        <w:tab/>
        <w:t>1.</w:t>
        <w:tab/>
        <w:t xml:space="preserve">Approval of Board Meeting Minutes  </w:t>
      </w:r>
      <w:r>
        <w:rPr>
          <w:rFonts w:cs="Times New Roman" w:ascii="Times New Roman" w:hAnsi="Times New Roman"/>
          <w:i/>
          <w:spacing w:val="-3"/>
        </w:rPr>
        <w:t>(5 Minutes)</w:t>
      </w:r>
      <w:r>
        <w:rPr>
          <w:rFonts w:cs="Times New Roman" w:ascii="Times New Roman" w:hAnsi="Times New Roman"/>
          <w:spacing w:val="-3"/>
        </w:rPr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Tab 1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 xml:space="preserve">            </w:t>
      </w:r>
      <w:r>
        <w:rPr>
          <w:rFonts w:cs="Times New Roman" w:ascii="Times New Roman" w:hAnsi="Times New Roman"/>
          <w:spacing w:val="-3"/>
        </w:rPr>
        <w:tab/>
        <w:t xml:space="preserve"> 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b/>
          <w:spacing w:val="-3"/>
        </w:rPr>
        <w:tab/>
        <w:t>2.   Approval of Membership Applications</w:t>
      </w:r>
      <w:r>
        <w:rPr>
          <w:rFonts w:cs="Times New Roman" w:ascii="Times New Roman" w:hAnsi="Times New Roman"/>
          <w:spacing w:val="-3"/>
        </w:rPr>
        <w:tab/>
        <w:t xml:space="preserve">  </w:t>
      </w:r>
      <w:r>
        <w:rPr>
          <w:rFonts w:cs="Times New Roman" w:ascii="Times New Roman" w:hAnsi="Times New Roman"/>
          <w:i/>
          <w:spacing w:val="-3"/>
        </w:rPr>
        <w:t>(5 Minutes)</w:t>
        <w:tab/>
        <w:t>.</w:t>
      </w:r>
      <w:r>
        <w:rPr>
          <w:rFonts w:cs="Times New Roman" w:ascii="Times New Roman" w:hAnsi="Times New Roman"/>
          <w:spacing w:val="-3"/>
        </w:rPr>
        <w:tab/>
        <w:t>.</w:t>
        <w:tab/>
        <w:t>.</w:t>
        <w:tab/>
        <w:t>.</w:t>
        <w:tab/>
        <w:t>.</w:t>
        <w:tab/>
        <w:t>.</w:t>
        <w:tab/>
        <w:t>Tab 2</w:t>
      </w:r>
    </w:p>
    <w:p>
      <w:pPr>
        <w:pStyle w:val="Normal"/>
        <w:numPr>
          <w:ilvl w:val="0"/>
          <w:numId w:val="4"/>
        </w:numPr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53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Applications for membership to be approved by the Board of Directors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72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ab/>
        <w:t>Allen &amp; Gledhill – Associate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72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ab/>
        <w:t>Mori Sogo Law Offices – Associate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72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ab/>
        <w:t>O’Melveny &amp; Myers LLP – Associate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72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ab/>
        <w:t>Treasury Connect – Associate Broker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72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ab/>
        <w:t>Bayview Financial Trading Group, L.P. – Subscriber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72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ab/>
        <w:t>Inter-American Development Bank – Subscriber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72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numPr>
          <w:ilvl w:val="0"/>
          <w:numId w:val="4"/>
        </w:numPr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53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Membership Applications Approved by the Executive Committee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1152" w:end="0"/>
        <w:jc w:val="both"/>
        <w:rPr>
          <w:rFonts w:ascii="Times New Roman" w:hAnsi="Times New Roman" w:cs="Times New Roman"/>
          <w:i/>
          <w:i/>
          <w:spacing w:val="-3"/>
        </w:rPr>
      </w:pPr>
      <w:r>
        <w:rPr>
          <w:rFonts w:cs="Times New Roman" w:ascii="Times New Roman" w:hAnsi="Times New Roman"/>
          <w:i/>
          <w:spacing w:val="-3"/>
        </w:rPr>
        <w:t>(Executive Committee Meeting held on July 11, 2000)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153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BG Bank A/S – Primary Regional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153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United Overseas Bank Limited – Primary Emerging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153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eDerivatives.com, Inc. – Associate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153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European Transaction Bank AG – Associate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153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Framesoft AG – Associate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153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S.J. Berwin and Co. – Associate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153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Export Credits Guarantee Department – Subscriber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153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The Yasuda Fire &amp; Marine Insurance Co. Ltd. – Subscriber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153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1080" w:end="0"/>
        <w:jc w:val="both"/>
        <w:rPr>
          <w:rFonts w:ascii="Times New Roman" w:hAnsi="Times New Roman" w:cs="Times New Roman"/>
          <w:i/>
          <w:i/>
          <w:spacing w:val="-3"/>
        </w:rPr>
      </w:pPr>
      <w:r>
        <w:rPr>
          <w:rFonts w:cs="Times New Roman" w:ascii="Times New Roman" w:hAnsi="Times New Roman"/>
          <w:i/>
          <w:spacing w:val="-3"/>
        </w:rPr>
        <w:t>(Executive Committee Meeting held on August 8, 2000)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1080" w:end="0"/>
        <w:jc w:val="both"/>
        <w:rPr/>
      </w:pPr>
      <w:r>
        <w:rPr>
          <w:rFonts w:cs="Times New Roman" w:ascii="Times New Roman" w:hAnsi="Times New Roman"/>
          <w:i/>
          <w:spacing w:val="-3"/>
        </w:rPr>
        <w:tab/>
      </w:r>
      <w:r>
        <w:rPr>
          <w:rFonts w:cs="Times New Roman" w:ascii="Times New Roman" w:hAnsi="Times New Roman"/>
          <w:spacing w:val="-3"/>
        </w:rPr>
        <w:t>Overseas Union Bank Limited – Primary Emerging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108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Cap Clear Limited – Associate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153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Cygnifi Derivatives Services LLC – Associate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ind w:start="153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Nagashima Ohno &amp; Tsunematsu – Associate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ab/>
        <w:tab/>
        <w:tab/>
        <w:t>Pekin &amp; Pekin – Associate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spacing w:val="-3"/>
        </w:rPr>
        <w:tab/>
      </w:r>
      <w:r>
        <w:rPr>
          <w:rFonts w:cs="Times New Roman" w:ascii="Times New Roman" w:hAnsi="Times New Roman"/>
          <w:b/>
          <w:spacing w:val="-3"/>
        </w:rPr>
        <w:t xml:space="preserve">3.   Election of Executive Committee </w:t>
      </w:r>
      <w:r>
        <w:rPr>
          <w:rFonts w:cs="Times New Roman" w:ascii="Times New Roman" w:hAnsi="Times New Roman"/>
          <w:i/>
          <w:spacing w:val="-3"/>
        </w:rPr>
        <w:t>(5 Minutes)</w:t>
      </w:r>
      <w:r>
        <w:br w:type="page"/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jc w:val="end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ISDA Board Meeting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end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ab/>
        <w:t>September 13, 2000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jc w:val="end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spacing w:val="-3"/>
        </w:rPr>
        <w:t>Page 2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cs="Times New Roman" w:ascii="Times New Roman" w:hAnsi="Times New Roman"/>
          <w:b/>
          <w:spacing w:val="-3"/>
        </w:rPr>
        <w:t>B.</w:t>
        <w:tab/>
      </w:r>
      <w:r>
        <w:rPr>
          <w:rFonts w:cs="Times New Roman" w:ascii="Times New Roman" w:hAnsi="Times New Roman"/>
          <w:b/>
          <w:caps/>
          <w:spacing w:val="-3"/>
          <w:u w:val="single"/>
        </w:rPr>
        <w:t>Primary Matters for Discussion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cs="Times New Roman" w:ascii="Times New Roman" w:hAnsi="Times New Roman"/>
          <w:b/>
          <w:spacing w:val="-3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576"/>
          <w:tab w:val="left" w:pos="-1440" w:leader="none"/>
          <w:tab w:val="left" w:pos="-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</w:rPr>
        <w:t>Review of ISDA’s Risk Management Activities</w:t>
        <w:tab/>
      </w:r>
      <w:r>
        <w:rPr>
          <w:rFonts w:cs="Times New Roman" w:ascii="Times New Roman" w:hAnsi="Times New Roman"/>
        </w:rPr>
        <w:t>.</w:t>
        <w:tab/>
        <w:t>.</w:t>
        <w:tab/>
      </w:r>
      <w:r>
        <w:rPr>
          <w:rFonts w:cs="Times New Roman" w:ascii="Times New Roman" w:hAnsi="Times New Roman"/>
          <w:spacing w:val="-3"/>
        </w:rPr>
        <w:t>.</w:t>
        <w:tab/>
        <w:t>.</w:t>
        <w:tab/>
        <w:t>.</w:t>
        <w:tab/>
        <w:t>.</w:t>
        <w:tab/>
        <w:t>.</w:t>
        <w:tab/>
        <w:t>Tab 3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rPr/>
      </w:pPr>
      <w:r>
        <w:rPr>
          <w:rFonts w:cs="Times New Roman" w:ascii="Times New Roman" w:hAnsi="Times New Roman"/>
          <w:b/>
        </w:rPr>
        <w:t xml:space="preserve">      </w:t>
      </w:r>
      <w:r>
        <w:rPr>
          <w:rFonts w:cs="Times New Roman" w:ascii="Times New Roman" w:hAnsi="Times New Roman"/>
        </w:rPr>
        <w:t>Emmanuelle Sebton</w:t>
      </w:r>
      <w:r>
        <w:rPr>
          <w:rFonts w:cs="Times New Roman" w:ascii="Times New Roman" w:hAnsi="Times New Roman"/>
          <w:i/>
          <w:spacing w:val="-3"/>
        </w:rPr>
        <w:t xml:space="preserve">  (30 Minutes)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rPr>
          <w:rFonts w:ascii="Times New Roman" w:hAnsi="Times New Roman" w:cs="Times New Roman"/>
          <w:i/>
          <w:i/>
          <w:spacing w:val="-3"/>
        </w:rPr>
      </w:pPr>
      <w:r>
        <w:rPr>
          <w:rFonts w:cs="Times New Roman" w:ascii="Times New Roman" w:hAnsi="Times New Roman"/>
          <w:i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rPr>
          <w:rFonts w:ascii="Times New Roman" w:hAnsi="Times New Roman" w:cs="Times New Roman"/>
          <w:i/>
          <w:i/>
          <w:spacing w:val="-3"/>
        </w:rPr>
      </w:pPr>
      <w:r>
        <w:rPr>
          <w:rFonts w:cs="Times New Roman" w:ascii="Times New Roman" w:hAnsi="Times New Roman"/>
          <w:i/>
          <w:spacing w:val="-3"/>
        </w:rPr>
      </w:r>
    </w:p>
    <w:p>
      <w:pPr>
        <w:pStyle w:val="Normal"/>
        <w:numPr>
          <w:ilvl w:val="0"/>
          <w:numId w:val="2"/>
        </w:numPr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Electronic Delivery of ISDA Documentation </w:t>
      </w:r>
      <w:r>
        <w:rPr>
          <w:rFonts w:cs="Times New Roman" w:ascii="Times New Roman" w:hAnsi="Times New Roman"/>
        </w:rPr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Tab 4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Bob Pickel  </w:t>
      </w:r>
      <w:r>
        <w:rPr>
          <w:rFonts w:cs="Times New Roman" w:ascii="Times New Roman" w:hAnsi="Times New Roman"/>
          <w:i/>
        </w:rPr>
        <w:t>(30  Minutes)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numPr>
          <w:ilvl w:val="0"/>
          <w:numId w:val="2"/>
        </w:numPr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Single Multi-Product Master Agreement and Related Issues</w:t>
      </w:r>
      <w:r>
        <w:rPr>
          <w:rFonts w:cs="Times New Roman" w:ascii="Times New Roman" w:hAnsi="Times New Roman"/>
        </w:rPr>
        <w:tab/>
        <w:t>.</w:t>
        <w:tab/>
        <w:t>.</w:t>
        <w:tab/>
        <w:t>.</w:t>
        <w:tab/>
        <w:t>.</w:t>
        <w:tab/>
        <w:t>.</w:t>
        <w:tab/>
        <w:t>Tab 5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720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Bob Pickel  </w:t>
      </w:r>
      <w:r>
        <w:rPr>
          <w:rFonts w:cs="Times New Roman" w:ascii="Times New Roman" w:hAnsi="Times New Roman"/>
          <w:i/>
        </w:rPr>
        <w:t xml:space="preserve">(30 Minutes) 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numPr>
          <w:ilvl w:val="0"/>
          <w:numId w:val="2"/>
        </w:numPr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Operations Benchmarking Survey</w:t>
      </w:r>
      <w:r>
        <w:rPr>
          <w:rFonts w:cs="Times New Roman" w:ascii="Times New Roman" w:hAnsi="Times New Roman"/>
        </w:rPr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Tab 6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ab/>
        <w:t xml:space="preserve">      Ruth Ainslie  </w:t>
      </w:r>
      <w:r>
        <w:rPr>
          <w:rFonts w:cs="Times New Roman" w:ascii="Times New Roman" w:hAnsi="Times New Roman"/>
          <w:i/>
        </w:rPr>
        <w:t>(30 Minutes)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/>
      </w:pPr>
      <w:r>
        <w:rPr>
          <w:rFonts w:cs="Times New Roman" w:ascii="Times New Roman" w:hAnsi="Times New Roman"/>
        </w:rPr>
        <w:tab/>
        <w:t xml:space="preserve"> </w:t>
      </w:r>
      <w:r>
        <w:rPr>
          <w:b/>
        </w:rPr>
        <w:tab/>
        <w:t xml:space="preserve"> 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  <w:t xml:space="preserve">C.  </w:t>
      </w:r>
      <w:r>
        <w:rPr>
          <w:rFonts w:cs="Times New Roman" w:ascii="Times New Roman" w:hAnsi="Times New Roman"/>
          <w:b/>
          <w:caps/>
          <w:spacing w:val="-3"/>
          <w:u w:val="single"/>
        </w:rPr>
        <w:t>ISDA Organizational Issues</w:t>
      </w:r>
      <w:r>
        <w:rPr>
          <w:rFonts w:cs="Times New Roman" w:ascii="Times New Roman" w:hAnsi="Times New Roman"/>
          <w:b/>
          <w:i/>
          <w:caps/>
          <w:spacing w:val="-3"/>
        </w:rPr>
        <w:tab/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b/>
          <w:spacing w:val="-3"/>
        </w:rPr>
        <w:t xml:space="preserve">1.   </w:t>
      </w:r>
      <w:r>
        <w:rPr>
          <w:rFonts w:cs="Times New Roman" w:ascii="Times New Roman" w:hAnsi="Times New Roman"/>
          <w:b/>
          <w:lang w:eastAsia="en-US"/>
        </w:rPr>
        <w:t>Discussion of ISDA Committee Agendas and Timelines</w:t>
      </w:r>
      <w:r>
        <w:rPr>
          <w:rFonts w:cs="Times New Roman" w:ascii="Times New Roman" w:hAnsi="Times New Roman"/>
        </w:rPr>
        <w:tab/>
        <w:t xml:space="preserve"> .</w:t>
        <w:tab/>
        <w:t>.</w:t>
        <w:tab/>
        <w:t>.</w:t>
        <w:tab/>
        <w:t>.</w:t>
        <w:tab/>
        <w:t>.</w:t>
        <w:tab/>
        <w:t>.</w:t>
        <w:tab/>
        <w:t>Tab 7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jc w:val="both"/>
        <w:rPr/>
      </w:pPr>
      <w:r>
        <w:rPr>
          <w:rFonts w:cs="Times New Roman" w:ascii="Times New Roman" w:hAnsi="Times New Roman"/>
          <w:b/>
          <w:spacing w:val="-3"/>
        </w:rPr>
        <w:tab/>
      </w:r>
      <w:r>
        <w:rPr>
          <w:rFonts w:cs="Times New Roman" w:ascii="Times New Roman" w:hAnsi="Times New Roman"/>
          <w:i/>
          <w:spacing w:val="-3"/>
        </w:rPr>
        <w:t>(</w:t>
      </w:r>
      <w:r>
        <w:rPr>
          <w:rFonts w:cs="Times New Roman" w:ascii="Times New Roman" w:hAnsi="Times New Roman"/>
          <w:i/>
        </w:rPr>
        <w:t>25 Minutes)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2.  Financial Forecast for 2000</w:t>
      </w:r>
      <w:r>
        <w:rPr>
          <w:rFonts w:cs="Times New Roman" w:ascii="Times New Roman" w:hAnsi="Times New Roman"/>
        </w:rPr>
        <w:tab/>
        <w:t>.</w:t>
        <w:tab/>
        <w:t>.</w:t>
        <w:tab/>
        <w:t>.</w:t>
        <w:tab/>
      </w:r>
      <w:r>
        <w:rPr>
          <w:rFonts w:cs="Times New Roman" w:ascii="Times New Roman" w:hAnsi="Times New Roman"/>
          <w:i/>
        </w:rPr>
        <w:t>.</w:t>
        <w:tab/>
        <w:t>.</w:t>
        <w:tab/>
        <w:t>.</w:t>
        <w:tab/>
        <w:t>.</w:t>
        <w:tab/>
        <w:t>.</w:t>
        <w:tab/>
        <w:t>.</w:t>
        <w:tab/>
        <w:t>.</w:t>
        <w:tab/>
      </w:r>
      <w:r>
        <w:rPr>
          <w:rFonts w:cs="Times New Roman" w:ascii="Times New Roman" w:hAnsi="Times New Roman"/>
        </w:rPr>
        <w:t>Tab 8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</w:rPr>
        <w:t xml:space="preserve">David Lafleur and Rick Grove </w:t>
      </w:r>
      <w:r>
        <w:rPr>
          <w:rFonts w:cs="Times New Roman" w:ascii="Times New Roman" w:hAnsi="Times New Roman"/>
          <w:i/>
        </w:rPr>
        <w:t>(10 Minutes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/>
      </w:pPr>
      <w:r>
        <w:rPr>
          <w:rFonts w:cs="Times New Roman" w:ascii="Times New Roman" w:hAnsi="Times New Roman"/>
          <w:b/>
          <w:spacing w:val="-3"/>
        </w:rPr>
        <w:t xml:space="preserve">     </w:t>
      </w:r>
      <w:r>
        <w:rPr>
          <w:rFonts w:cs="Times New Roman" w:ascii="Times New Roman" w:hAnsi="Times New Roman"/>
          <w:b/>
          <w:spacing w:val="-3"/>
        </w:rPr>
        <w:t>3.  ISDA’s Three-year Outlook</w:t>
        <w:tab/>
      </w:r>
      <w:r>
        <w:rPr>
          <w:rFonts w:cs="Times New Roman" w:ascii="Times New Roman" w:hAnsi="Times New Roman"/>
          <w:spacing w:val="-3"/>
        </w:rPr>
        <w:t>.</w:t>
        <w:tab/>
        <w:t>.</w:t>
        <w:tab/>
        <w:t>.</w:t>
        <w:tab/>
        <w:t>.</w:t>
        <w:tab/>
        <w:t>.</w:t>
        <w:tab/>
        <w:t>.</w:t>
        <w:tab/>
        <w:t>.</w:t>
      </w:r>
      <w:r>
        <w:rPr>
          <w:rFonts w:cs="Times New Roman" w:ascii="Times New Roman" w:hAnsi="Times New Roman"/>
          <w:b/>
          <w:spacing w:val="-3"/>
        </w:rPr>
        <w:tab/>
      </w:r>
      <w:r>
        <w:rPr>
          <w:rFonts w:cs="Times New Roman" w:ascii="Times New Roman" w:hAnsi="Times New Roman"/>
          <w:spacing w:val="-3"/>
        </w:rPr>
        <w:t>.</w:t>
        <w:tab/>
        <w:t>.</w:t>
        <w:tab/>
        <w:t>.</w:t>
        <w:tab/>
        <w:t>.</w:t>
        <w:tab/>
        <w:t>Tab 9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 xml:space="preserve">          </w:t>
      </w:r>
      <w:r>
        <w:rPr>
          <w:rFonts w:cs="Times New Roman" w:ascii="Times New Roman" w:hAnsi="Times New Roman"/>
          <w:spacing w:val="-3"/>
        </w:rPr>
        <w:t xml:space="preserve">Rick Grove and David Lafleur  </w:t>
      </w:r>
      <w:r>
        <w:rPr>
          <w:rFonts w:cs="Times New Roman" w:ascii="Times New Roman" w:hAnsi="Times New Roman"/>
          <w:i/>
          <w:spacing w:val="-3"/>
        </w:rPr>
        <w:t>(45 Minutes)</w:t>
      </w:r>
    </w:p>
    <w:p>
      <w:pPr>
        <w:pStyle w:val="EndnoteText"/>
        <w:tabs>
          <w:tab w:val="clear" w:pos="576"/>
          <w:tab w:val="left" w:pos="-1440" w:leader="none"/>
          <w:tab w:val="left" w:pos="-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spacing w:val="-3"/>
        </w:rPr>
        <w:t xml:space="preserve">    </w:t>
      </w:r>
      <w:r>
        <w:rPr>
          <w:rFonts w:cs="Times New Roman" w:ascii="Times New Roman" w:hAnsi="Times New Roman"/>
          <w:b/>
          <w:i/>
          <w:spacing w:val="-3"/>
        </w:rPr>
        <w:tab/>
      </w:r>
    </w:p>
    <w:p>
      <w:pPr>
        <w:pStyle w:val="Heading8"/>
        <w:numPr>
          <w:ilvl w:val="0"/>
          <w:numId w:val="6"/>
        </w:numPr>
        <w:ind w:hanging="0" w:start="0"/>
        <w:rPr>
          <w:i/>
          <w:i/>
        </w:rPr>
      </w:pPr>
      <w:r>
        <w:rPr/>
        <w:t>Other Matters for Discussion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jc w:val="both"/>
        <w:rPr>
          <w:rFonts w:ascii="Times New Roman" w:hAnsi="Times New Roman" w:cs="Times New Roman"/>
          <w:b/>
          <w:i/>
          <w:i/>
          <w:spacing w:val="-3"/>
        </w:rPr>
      </w:pPr>
      <w:r>
        <w:rPr>
          <w:rFonts w:cs="Times New Roman" w:ascii="Times New Roman" w:hAnsi="Times New Roman"/>
          <w:b/>
          <w:i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jc w:val="both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  <w:t>1.   ISDA’s Relationship with INSEAD</w:t>
      </w:r>
      <w:r>
        <w:rPr>
          <w:rFonts w:cs="Times New Roman" w:ascii="Times New Roman" w:hAnsi="Times New Roman"/>
          <w:i/>
          <w:spacing w:val="-3"/>
        </w:rPr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</w:r>
      <w:r>
        <w:rPr>
          <w:rFonts w:cs="Times New Roman" w:ascii="Times New Roman" w:hAnsi="Times New Roman"/>
          <w:spacing w:val="-3"/>
        </w:rPr>
        <w:t>Tab 10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720" w:end="0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 xml:space="preserve">Rick Grove  </w:t>
      </w:r>
      <w:r>
        <w:rPr>
          <w:rFonts w:cs="Times New Roman" w:ascii="Times New Roman" w:hAnsi="Times New Roman"/>
          <w:i/>
          <w:spacing w:val="-3"/>
        </w:rPr>
        <w:t>(5 Minutes)</w:t>
        <w:tab/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720" w:end="0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/>
      </w:pPr>
      <w:r>
        <w:rPr>
          <w:rFonts w:cs="Times New Roman" w:ascii="Times New Roman" w:hAnsi="Times New Roman"/>
          <w:b/>
          <w:spacing w:val="-3"/>
        </w:rPr>
        <w:tab/>
        <w:t>2.   ISDA’s View on a Single European Regulator</w:t>
      </w:r>
      <w:r>
        <w:rPr>
          <w:rFonts w:cs="Times New Roman" w:ascii="Times New Roman" w:hAnsi="Times New Roman"/>
          <w:i/>
          <w:spacing w:val="-3"/>
        </w:rPr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</w:r>
      <w:r>
        <w:rPr>
          <w:rFonts w:cs="Times New Roman" w:ascii="Times New Roman" w:hAnsi="Times New Roman"/>
          <w:spacing w:val="-3"/>
        </w:rPr>
        <w:t>Tab 11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720" w:end="0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 xml:space="preserve">Nick Collier  </w:t>
      </w:r>
      <w:r>
        <w:rPr>
          <w:rFonts w:cs="Times New Roman" w:ascii="Times New Roman" w:hAnsi="Times New Roman"/>
          <w:i/>
          <w:spacing w:val="-3"/>
        </w:rPr>
        <w:t>(10 Minutes)</w:t>
        <w:tab/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i/>
          <w:spacing w:val="-3"/>
        </w:rPr>
        <w:tab/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  <w:t xml:space="preserve">3.  Web Site Links 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rPr/>
      </w:pPr>
      <w:r>
        <w:rPr>
          <w:rFonts w:cs="Times New Roman" w:ascii="Times New Roman" w:hAnsi="Times New Roman"/>
          <w:b/>
          <w:spacing w:val="-3"/>
        </w:rPr>
        <w:t xml:space="preserve">       </w:t>
      </w:r>
      <w:r>
        <w:rPr>
          <w:rFonts w:cs="Times New Roman" w:ascii="Times New Roman" w:hAnsi="Times New Roman"/>
          <w:spacing w:val="-3"/>
        </w:rPr>
        <w:t>Rick Grove</w:t>
      </w:r>
      <w:r>
        <w:rPr>
          <w:rFonts w:cs="Times New Roman" w:ascii="Times New Roman" w:hAnsi="Times New Roman"/>
          <w:b/>
          <w:spacing w:val="-3"/>
        </w:rPr>
        <w:t xml:space="preserve">  </w:t>
      </w:r>
      <w:r>
        <w:rPr>
          <w:rFonts w:cs="Times New Roman" w:ascii="Times New Roman" w:hAnsi="Times New Roman"/>
          <w:i/>
          <w:spacing w:val="-3"/>
        </w:rPr>
        <w:t>(10 Minutes)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rPr>
          <w:rFonts w:ascii="Times New Roman" w:hAnsi="Times New Roman" w:cs="Times New Roman"/>
          <w:i/>
          <w:i/>
          <w:spacing w:val="-3"/>
        </w:rPr>
      </w:pPr>
      <w:r>
        <w:rPr>
          <w:rFonts w:cs="Times New Roman" w:ascii="Times New Roman" w:hAnsi="Times New Roman"/>
          <w:i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  <w:t>4.  Report of the Succession Committee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b/>
          <w:spacing w:val="-3"/>
        </w:rPr>
        <w:t xml:space="preserve">         </w:t>
      </w:r>
      <w:r>
        <w:rPr>
          <w:rFonts w:cs="Times New Roman" w:ascii="Times New Roman" w:hAnsi="Times New Roman"/>
          <w:spacing w:val="-3"/>
        </w:rPr>
        <w:t xml:space="preserve">Keith Bailey  </w:t>
      </w:r>
      <w:r>
        <w:rPr>
          <w:rFonts w:cs="Times New Roman" w:ascii="Times New Roman" w:hAnsi="Times New Roman"/>
          <w:i/>
          <w:spacing w:val="-3"/>
        </w:rPr>
        <w:t>(15 Minutes)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jc w:val="end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>ISDA Board Meeting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end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ab/>
        <w:t>September 13, 2000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530" w:leader="none"/>
        </w:tabs>
        <w:suppressAutoHyphens w:val="true"/>
        <w:jc w:val="end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spacing w:val="-3"/>
        </w:rPr>
        <w:t>Page 3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/>
      </w:pPr>
      <w:r>
        <w:rPr>
          <w:rFonts w:cs="Times New Roman" w:ascii="Times New Roman" w:hAnsi="Times New Roman"/>
          <w:b/>
          <w:spacing w:val="-3"/>
        </w:rPr>
        <w:t xml:space="preserve">E.  </w:t>
      </w:r>
      <w:r>
        <w:rPr>
          <w:rFonts w:cs="Times New Roman" w:ascii="Times New Roman" w:hAnsi="Times New Roman"/>
          <w:b/>
          <w:spacing w:val="-3"/>
          <w:u w:val="single"/>
        </w:rPr>
        <w:t>ADDITIONAL COMMITTEE REPORTS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cs="Times New Roman" w:ascii="Times New Roman" w:hAnsi="Times New Roman"/>
          <w:b/>
          <w:spacing w:val="-3"/>
          <w:u w:val="single"/>
        </w:rPr>
      </w:r>
    </w:p>
    <w:p>
      <w:pPr>
        <w:pStyle w:val="Normal"/>
        <w:numPr>
          <w:ilvl w:val="0"/>
          <w:numId w:val="3"/>
        </w:numPr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spacing w:lineRule="auto" w:line="360"/>
        <w:rPr>
          <w:rFonts w:ascii="Times New Roman" w:hAnsi="Times New Roman" w:cs="Times New Roman"/>
          <w:spacing w:val="-6"/>
        </w:rPr>
      </w:pPr>
      <w:r>
        <w:rPr>
          <w:rFonts w:cs="Times New Roman" w:ascii="Times New Roman" w:hAnsi="Times New Roman"/>
          <w:spacing w:val="-6"/>
        </w:rPr>
        <w:t>Energy Committee.</w:t>
        <w:tab/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Tab 12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spacing w:lineRule="auto" w:line="360"/>
        <w:rPr>
          <w:rFonts w:ascii="Times New Roman" w:hAnsi="Times New Roman" w:cs="Times New Roman"/>
          <w:spacing w:val="-6"/>
        </w:rPr>
      </w:pPr>
      <w:r>
        <w:rPr>
          <w:rFonts w:cs="Times New Roman" w:ascii="Times New Roman" w:hAnsi="Times New Roman"/>
          <w:spacing w:val="-6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spacing w:lineRule="auto" w:line="360"/>
        <w:rPr>
          <w:rFonts w:ascii="Times New Roman" w:hAnsi="Times New Roman" w:cs="Times New Roman"/>
          <w:spacing w:val="-6"/>
        </w:rPr>
      </w:pPr>
      <w:r>
        <w:rPr>
          <w:rFonts w:cs="Times New Roman" w:ascii="Times New Roman" w:hAnsi="Times New Roman"/>
          <w:spacing w:val="-6"/>
        </w:rPr>
        <w:t xml:space="preserve">2.    European Regulatory Committee 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Tab 13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spacing w:lineRule="auto" w:line="360"/>
        <w:rPr>
          <w:rFonts w:ascii="Times New Roman" w:hAnsi="Times New Roman" w:cs="Times New Roman"/>
          <w:spacing w:val="-6"/>
        </w:rPr>
      </w:pPr>
      <w:r>
        <w:rPr>
          <w:rFonts w:cs="Times New Roman" w:ascii="Times New Roman" w:hAnsi="Times New Roman"/>
          <w:spacing w:val="-6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spacing w:lineRule="auto" w:line="360"/>
        <w:rPr>
          <w:rFonts w:ascii="Times New Roman" w:hAnsi="Times New Roman" w:cs="Times New Roman"/>
          <w:spacing w:val="-6"/>
        </w:rPr>
      </w:pPr>
      <w:r>
        <w:rPr>
          <w:rFonts w:cs="Times New Roman" w:ascii="Times New Roman" w:hAnsi="Times New Roman"/>
          <w:spacing w:val="-6"/>
        </w:rPr>
        <w:t>3.   South East Asia and Hong Kong Committee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Tab 14</w:t>
      </w:r>
    </w:p>
    <w:sectPr>
      <w:type w:val="nextPage"/>
      <w:pgSz w:w="12240" w:h="15840"/>
      <w:pgMar w:left="1008" w:right="576" w:gutter="0" w:header="0" w:top="1008" w:footer="0" w:bottom="1008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b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5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  <w:rPr>
        <w:i w:val="false"/>
        <w:b/>
      </w:rPr>
    </w:lvl>
  </w:abstractNum>
  <w:abstractNum w:abstractNumId="6">
    <w:lvl w:ilvl="0">
      <w:start w:val="4"/>
      <w:numFmt w:val="upperLetter"/>
      <w:lvlText w:val="%1."/>
      <w:lvlJc w:val="start"/>
      <w:pPr>
        <w:tabs>
          <w:tab w:val="num" w:pos="360"/>
        </w:tabs>
        <w:ind w:start="360" w:hanging="360"/>
      </w:pPr>
      <w:rPr>
        <w:i w:val="false"/>
        <w:u w:val="none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defaultTabStop w:val="576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;Courier New" w:hAnsi="Courier;Courier New" w:eastAsia="Times New Roman" w:cs="Courier;Courier New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E5E5E5" w:val="clear"/>
      <w:tabs>
        <w:tab w:val="clear" w:pos="576"/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  <w:tab w:val="center" w:pos="5256" w:leader="none"/>
      </w:tabs>
      <w:suppressAutoHyphens w:val="true"/>
      <w:jc w:val="center"/>
      <w:outlineLvl w:val="0"/>
    </w:pPr>
    <w:rPr>
      <w:rFonts w:ascii="Times New Roman" w:hAnsi="Times New Roman" w:cs="Times New Roman"/>
      <w:b/>
      <w:spacing w:val="-3"/>
      <w:sz w:val="3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576"/>
        <w:tab w:val="left" w:pos="-1440" w:leader="none"/>
        <w:tab w:val="left" w:pos="-720" w:leader="none"/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</w:tabs>
      <w:suppressAutoHyphens w:val="true"/>
      <w:jc w:val="both"/>
      <w:outlineLvl w:val="1"/>
    </w:pPr>
    <w:rPr>
      <w:rFonts w:ascii="Times New Roman" w:hAnsi="Times New Roman" w:cs="Times New Roman"/>
      <w:b/>
      <w:spacing w:val="-3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E5E5E5" w:val="clear"/>
      <w:tabs>
        <w:tab w:val="clear" w:pos="576"/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  <w:tab w:val="center" w:pos="5256" w:leader="none"/>
      </w:tabs>
      <w:suppressAutoHyphens w:val="true"/>
      <w:jc w:val="end"/>
      <w:outlineLvl w:val="2"/>
    </w:pPr>
    <w:rPr>
      <w:rFonts w:ascii="Times New Roman" w:hAnsi="Times New Roman" w:cs="Times New Roman"/>
      <w:b/>
      <w:spacing w:val="-3"/>
      <w:sz w:val="3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76"/>
        <w:tab w:val="left" w:pos="-1440" w:leader="none"/>
        <w:tab w:val="left" w:pos="-720" w:leader="none"/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</w:tabs>
      <w:suppressAutoHyphens w:val="true"/>
      <w:jc w:val="end"/>
      <w:outlineLvl w:val="3"/>
    </w:pPr>
    <w:rPr>
      <w:rFonts w:ascii="Times New Roman" w:hAnsi="Times New Roman" w:cs="Times New Roman"/>
      <w:b/>
      <w:i/>
      <w:spacing w:val="-3"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576"/>
        <w:tab w:val="left" w:pos="-1440" w:leader="none"/>
        <w:tab w:val="left" w:pos="-720" w:leader="none"/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</w:tabs>
      <w:suppressAutoHyphens w:val="true"/>
      <w:outlineLvl w:val="4"/>
    </w:pPr>
    <w:rPr>
      <w:rFonts w:ascii="Times New Roman" w:hAnsi="Times New Roman" w:cs="Times New Roman"/>
      <w:b/>
      <w:spacing w:val="-3"/>
      <w:sz w:val="2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E5E5E5" w:val="clear"/>
      <w:tabs>
        <w:tab w:val="clear" w:pos="576"/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  <w:tab w:val="center" w:pos="5256" w:leader="none"/>
      </w:tabs>
      <w:suppressAutoHyphens w:val="true"/>
      <w:jc w:val="center"/>
      <w:outlineLvl w:val="5"/>
    </w:pPr>
    <w:rPr>
      <w:rFonts w:ascii="Times New Roman" w:hAnsi="Times New Roman" w:cs="Times New Roman"/>
      <w:b/>
      <w:spacing w:val="-3"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576"/>
        <w:tab w:val="left" w:pos="-1440" w:leader="none"/>
        <w:tab w:val="left" w:pos="-720" w:leader="none"/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</w:tabs>
      <w:suppressAutoHyphens w:val="true"/>
      <w:jc w:val="both"/>
      <w:outlineLvl w:val="6"/>
    </w:pPr>
    <w:rPr>
      <w:rFonts w:ascii="Times New Roman" w:hAnsi="Times New Roman" w:cs="Times New Roman"/>
      <w:b/>
      <w:i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6"/>
      </w:numPr>
      <w:tabs>
        <w:tab w:val="clear" w:pos="576"/>
        <w:tab w:val="left" w:pos="-1440" w:leader="none"/>
        <w:tab w:val="left" w:pos="-72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</w:tabs>
      <w:suppressAutoHyphens w:val="true"/>
      <w:jc w:val="both"/>
      <w:outlineLvl w:val="7"/>
    </w:pPr>
    <w:rPr>
      <w:rFonts w:ascii="Times New Roman" w:hAnsi="Times New Roman" w:cs="Times New Roman"/>
      <w:b/>
      <w:caps/>
      <w:spacing w:val="-3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clear" w:pos="576"/>
        <w:tab w:val="left" w:pos="-1440" w:leader="none"/>
        <w:tab w:val="left" w:pos="-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</w:tabs>
      <w:suppressAutoHyphens w:val="true"/>
      <w:ind w:hanging="0" w:start="360" w:end="0"/>
      <w:jc w:val="end"/>
      <w:outlineLvl w:val="8"/>
    </w:pPr>
    <w:rPr>
      <w:rFonts w:ascii="Times New Roman" w:hAnsi="Times New Roman" w:cs="Times New Roman"/>
      <w:i/>
      <w:spacing w:val="-3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b/>
      <w:i w:val="false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b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b/>
      <w:i w:val="false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>
      <w:b/>
      <w:i w:val="false"/>
    </w:rPr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b/>
    </w:rPr>
  </w:style>
  <w:style w:type="character" w:styleId="WW8Num27z0">
    <w:name w:val="WW8Num27z0"/>
    <w:qFormat/>
    <w:rPr/>
  </w:style>
  <w:style w:type="character" w:styleId="WW8Num29z0">
    <w:name w:val="WW8Num29z0"/>
    <w:qFormat/>
    <w:rPr>
      <w:b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>
      <w:b/>
      <w:i w:val="false"/>
    </w:rPr>
  </w:style>
  <w:style w:type="character" w:styleId="WW8Num38z0">
    <w:name w:val="WW8Num38z0"/>
    <w:qFormat/>
    <w:rPr>
      <w:b/>
    </w:rPr>
  </w:style>
  <w:style w:type="character" w:styleId="WW8Num39z0">
    <w:name w:val="WW8Num39z0"/>
    <w:qFormat/>
    <w:rPr>
      <w:b/>
      <w:i w:val="false"/>
    </w:rPr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>
      <w:b/>
      <w:i w:val="false"/>
    </w:rPr>
  </w:style>
  <w:style w:type="character" w:styleId="WW8Num43z0">
    <w:name w:val="WW8Num43z0"/>
    <w:qFormat/>
    <w:rPr>
      <w:b/>
    </w:rPr>
  </w:style>
  <w:style w:type="character" w:styleId="WW8Num44z0">
    <w:name w:val="WW8Num44z0"/>
    <w:qFormat/>
    <w:rPr>
      <w:b/>
    </w:rPr>
  </w:style>
  <w:style w:type="character" w:styleId="WW8Num45z0">
    <w:name w:val="WW8Num45z0"/>
    <w:qFormat/>
    <w:rPr>
      <w:b/>
      <w:i w:val="false"/>
    </w:rPr>
  </w:style>
  <w:style w:type="character" w:styleId="WW8Num46z0">
    <w:name w:val="WW8Num46z0"/>
    <w:qFormat/>
    <w:rPr/>
  </w:style>
  <w:style w:type="character" w:styleId="WW8Num47z0">
    <w:name w:val="WW8Num47z0"/>
    <w:qFormat/>
    <w:rPr>
      <w:b/>
      <w:i w:val="false"/>
    </w:rPr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1z0">
    <w:name w:val="WW8Num51z0"/>
    <w:qFormat/>
    <w:rPr>
      <w:b/>
      <w:i w:val="false"/>
    </w:rPr>
  </w:style>
  <w:style w:type="character" w:styleId="WW8Num52z0">
    <w:name w:val="WW8Num52z0"/>
    <w:qFormat/>
    <w:rPr/>
  </w:style>
  <w:style w:type="character" w:styleId="WW8Num53z0">
    <w:name w:val="WW8Num53z0"/>
    <w:qFormat/>
    <w:rPr>
      <w:b/>
      <w:i w:val="false"/>
    </w:rPr>
  </w:style>
  <w:style w:type="character" w:styleId="WW8Num54z0">
    <w:name w:val="WW8Num54z0"/>
    <w:qFormat/>
    <w:rPr>
      <w:b/>
    </w:rPr>
  </w:style>
  <w:style w:type="character" w:styleId="WW8Num55z0">
    <w:name w:val="WW8Num55z0"/>
    <w:qFormat/>
    <w:rPr/>
  </w:style>
  <w:style w:type="character" w:styleId="WW8Num56z0">
    <w:name w:val="WW8Num56z0"/>
    <w:qFormat/>
    <w:rPr>
      <w:u w:val="none"/>
    </w:rPr>
  </w:style>
  <w:style w:type="character" w:styleId="WW8Num57z0">
    <w:name w:val="WW8Num57z0"/>
    <w:qFormat/>
    <w:rPr>
      <w:b/>
      <w:i w:val="false"/>
      <w:u w:val="none"/>
    </w:rPr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>
      <w:b/>
    </w:rPr>
  </w:style>
  <w:style w:type="character" w:styleId="WW8Num61z0">
    <w:name w:val="WW8Num61z0"/>
    <w:qFormat/>
    <w:rPr/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576"/>
        <w:tab w:val="left" w:pos="-1440" w:leader="none"/>
        <w:tab w:val="left" w:pos="-720" w:leader="none"/>
        <w:tab w:val="left" w:pos="360" w:leader="none"/>
        <w:tab w:val="left" w:pos="1800" w:leader="none"/>
        <w:tab w:val="left" w:pos="2160" w:leader="none"/>
        <w:tab w:val="left" w:pos="2520" w:leader="none"/>
        <w:tab w:val="left" w:pos="2880" w:leader="none"/>
      </w:tabs>
      <w:suppressAutoHyphens w:val="true"/>
      <w:ind w:hanging="0" w:start="0" w:end="162"/>
      <w:jc w:val="both"/>
    </w:pPr>
    <w:rPr>
      <w:rFonts w:ascii="Times New Roman" w:hAnsi="Times New Roman" w:cs="Times New Roman"/>
      <w:spacing w:val="-3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576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576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576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576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576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576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576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576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576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576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576"/>
        <w:tab w:val="right" w:pos="9360" w:leader="none"/>
      </w:tabs>
      <w:suppressAutoHyphens w:val="tru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76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576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576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2000-06-13T11:06:00Z</dcterms:created>
  <dc:creator>Rosemary Ryan</dc:creator>
  <dc:description/>
  <dc:language>en-CA</dc:language>
  <cp:lastModifiedBy>Corrinne Greasley</cp:lastModifiedBy>
  <cp:lastPrinted>2000-08-29T14:51:00Z</cp:lastPrinted>
  <dcterms:modified xsi:type="dcterms:W3CDTF">2000-08-29T16:33:00Z</dcterms:modified>
  <cp:revision>11</cp:revision>
  <dc:subject/>
  <dc:title>	</dc:title>
</cp:coreProperties>
</file>