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tabs>
          <w:tab w:val="clear" w:pos="720"/>
          <w:tab w:val="left" w:pos="993" w:leader="none"/>
          <w:tab w:val="left" w:pos="1418" w:leader="none"/>
        </w:tabs>
        <w:rPr>
          <w:rFonts w:ascii="Arial" w:hAnsi="Arial" w:cs="Arial"/>
          <w:sz w:val="40"/>
        </w:rPr>
      </w:pPr>
      <w:r>
        <w:rPr>
          <w:rFonts w:cs="Arial" w:ascii="Arial" w:hAnsi="Arial"/>
          <w:sz w:val="40"/>
        </w:rPr>
        <w:t>EBS Trading Operations Support Team Brings Over 35 Years of Enron Experience Across a Whole Range of Activities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tbl>
      <w:tblPr>
        <w:tblW w:w="14292" w:type="dxa"/>
        <w:jc w:val="start"/>
        <w:tblInd w:w="0" w:type="dxa"/>
        <w:tblLayout w:type="fixed"/>
        <w:tblCellMar>
          <w:top w:w="0" w:type="dxa"/>
          <w:start w:w="46" w:type="dxa"/>
          <w:bottom w:w="0" w:type="dxa"/>
          <w:end w:w="46" w:type="dxa"/>
        </w:tblCellMar>
      </w:tblPr>
      <w:tblGrid>
        <w:gridCol w:w="2268"/>
        <w:gridCol w:w="340"/>
        <w:gridCol w:w="557"/>
        <w:gridCol w:w="208"/>
        <w:gridCol w:w="501"/>
        <w:gridCol w:w="179"/>
        <w:gridCol w:w="523"/>
        <w:gridCol w:w="115"/>
        <w:gridCol w:w="589"/>
        <w:gridCol w:w="115"/>
        <w:gridCol w:w="539"/>
        <w:gridCol w:w="115"/>
        <w:gridCol w:w="594"/>
        <w:gridCol w:w="115"/>
        <w:gridCol w:w="571"/>
        <w:gridCol w:w="115"/>
        <w:gridCol w:w="549"/>
        <w:gridCol w:w="115"/>
        <w:gridCol w:w="590"/>
        <w:gridCol w:w="115"/>
        <w:gridCol w:w="589"/>
        <w:gridCol w:w="115"/>
        <w:gridCol w:w="591"/>
        <w:gridCol w:w="115"/>
        <w:gridCol w:w="578"/>
        <w:gridCol w:w="115"/>
        <w:gridCol w:w="556"/>
        <w:gridCol w:w="115"/>
        <w:gridCol w:w="590"/>
        <w:gridCol w:w="115"/>
        <w:gridCol w:w="590"/>
        <w:gridCol w:w="115"/>
        <w:gridCol w:w="590"/>
        <w:gridCol w:w="115"/>
        <w:gridCol w:w="590"/>
      </w:tblGrid>
      <w:tr>
        <w:trPr>
          <w:trHeight w:val="2289" w:hRule="atLeast"/>
        </w:trPr>
        <w:tc>
          <w:tcPr>
            <w:tcW w:w="226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34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57" w:type="dxa"/>
            <w:tcBorders>
              <w:top w:val="single" w:sz="4" w:space="0" w:color="000000"/>
              <w:start w:val="single" w:sz="4" w:space="0" w:color="000000"/>
            </w:tcBorders>
            <w:shd w:fill="FF0000" w:val="clear"/>
            <w:textDirection w:val="tbRl"/>
          </w:tcPr>
          <w:p>
            <w:pPr>
              <w:pStyle w:val="Normal"/>
              <w:ind w:start="113" w:end="113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Years w/Enron</w:t>
            </w:r>
          </w:p>
        </w:tc>
        <w:tc>
          <w:tcPr>
            <w:tcW w:w="20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01" w:type="dxa"/>
            <w:tcBorders>
              <w:top w:val="single" w:sz="4" w:space="0" w:color="000000"/>
              <w:end w:val="single" w:sz="4" w:space="0" w:color="000000"/>
            </w:tcBorders>
            <w:shd w:fill="FFFF00" w:val="clear"/>
            <w:textDirection w:val="tbRl"/>
          </w:tcPr>
          <w:p>
            <w:pPr>
              <w:pStyle w:val="Normal"/>
              <w:ind w:start="113" w:end="113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US</w:t>
            </w:r>
          </w:p>
        </w:tc>
        <w:tc>
          <w:tcPr>
            <w:tcW w:w="17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2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00" w:val="clear"/>
            <w:textDirection w:val="tbRl"/>
          </w:tcPr>
          <w:p>
            <w:pPr>
              <w:pStyle w:val="Normal"/>
              <w:ind w:start="113" w:end="113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UK</w:t>
            </w:r>
          </w:p>
        </w:tc>
        <w:tc>
          <w:tcPr>
            <w:tcW w:w="11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8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00" w:val="clear"/>
            <w:textDirection w:val="tbRl"/>
          </w:tcPr>
          <w:p>
            <w:pPr>
              <w:pStyle w:val="Normal"/>
              <w:ind w:start="113" w:end="113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Nordic</w:t>
            </w:r>
          </w:p>
        </w:tc>
        <w:tc>
          <w:tcPr>
            <w:tcW w:w="11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3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00" w:val="clear"/>
            <w:textDirection w:val="tbRl"/>
          </w:tcPr>
          <w:p>
            <w:pPr>
              <w:pStyle w:val="Normal"/>
              <w:ind w:start="113" w:end="113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Cont Europe</w:t>
            </w:r>
          </w:p>
        </w:tc>
        <w:tc>
          <w:tcPr>
            <w:tcW w:w="11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00" w:val="clear"/>
            <w:textDirection w:val="tbRl"/>
          </w:tcPr>
          <w:p>
            <w:pPr>
              <w:pStyle w:val="Normal"/>
              <w:ind w:start="113" w:end="113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Electricity</w:t>
            </w:r>
          </w:p>
        </w:tc>
        <w:tc>
          <w:tcPr>
            <w:tcW w:w="11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7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00" w:val="clear"/>
            <w:textDirection w:val="tbRl"/>
          </w:tcPr>
          <w:p>
            <w:pPr>
              <w:pStyle w:val="Normal"/>
              <w:ind w:start="113" w:end="113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Gas</w:t>
            </w:r>
          </w:p>
        </w:tc>
        <w:tc>
          <w:tcPr>
            <w:tcW w:w="11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4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00" w:val="clear"/>
            <w:textDirection w:val="tbRl"/>
          </w:tcPr>
          <w:p>
            <w:pPr>
              <w:pStyle w:val="Normal"/>
              <w:ind w:start="113" w:end="113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Credit</w:t>
            </w:r>
          </w:p>
        </w:tc>
        <w:tc>
          <w:tcPr>
            <w:tcW w:w="11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00" w:val="clear"/>
            <w:textDirection w:val="tbRl"/>
          </w:tcPr>
          <w:p>
            <w:pPr>
              <w:pStyle w:val="Normal"/>
              <w:ind w:start="113" w:end="113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Forex/Int Rates</w:t>
            </w:r>
          </w:p>
        </w:tc>
        <w:tc>
          <w:tcPr>
            <w:tcW w:w="11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8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00" w:val="clear"/>
            <w:textDirection w:val="tbRl"/>
          </w:tcPr>
          <w:p>
            <w:pPr>
              <w:pStyle w:val="Normal"/>
              <w:ind w:start="113" w:end="113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Merchant Plant</w:t>
            </w:r>
          </w:p>
        </w:tc>
        <w:tc>
          <w:tcPr>
            <w:tcW w:w="11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00" w:val="clear"/>
            <w:textDirection w:val="tbRl"/>
          </w:tcPr>
          <w:p>
            <w:pPr>
              <w:pStyle w:val="Normal"/>
              <w:ind w:start="113" w:end="113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IT Development</w:t>
            </w:r>
          </w:p>
        </w:tc>
        <w:tc>
          <w:tcPr>
            <w:tcW w:w="11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7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00" w:val="clear"/>
            <w:textDirection w:val="tbRl"/>
          </w:tcPr>
          <w:p>
            <w:pPr>
              <w:pStyle w:val="Normal"/>
              <w:ind w:start="113" w:end="113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Derivative Struct</w:t>
            </w:r>
          </w:p>
        </w:tc>
        <w:tc>
          <w:tcPr>
            <w:tcW w:w="11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5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00" w:val="clear"/>
            <w:textDirection w:val="tbRl"/>
          </w:tcPr>
          <w:p>
            <w:pPr>
              <w:pStyle w:val="Normal"/>
              <w:ind w:start="113" w:end="113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Liquid Market</w:t>
            </w:r>
          </w:p>
        </w:tc>
        <w:tc>
          <w:tcPr>
            <w:tcW w:w="11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00" w:val="clear"/>
            <w:textDirection w:val="tbRl"/>
          </w:tcPr>
          <w:p>
            <w:pPr>
              <w:pStyle w:val="Normal"/>
              <w:ind w:start="113" w:end="113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IIIiquid Market</w:t>
            </w:r>
          </w:p>
        </w:tc>
        <w:tc>
          <w:tcPr>
            <w:tcW w:w="11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00" w:val="clear"/>
            <w:textDirection w:val="tbRl"/>
          </w:tcPr>
          <w:p>
            <w:pPr>
              <w:pStyle w:val="Normal"/>
              <w:ind w:start="113" w:end="113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EOL Experience</w:t>
            </w:r>
          </w:p>
        </w:tc>
        <w:tc>
          <w:tcPr>
            <w:tcW w:w="11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00" w:val="clear"/>
            <w:textDirection w:val="tbRl"/>
          </w:tcPr>
          <w:p>
            <w:pPr>
              <w:pStyle w:val="Normal"/>
              <w:ind w:start="113" w:end="113"/>
              <w:jc w:val="center"/>
              <w:rPr/>
            </w:pPr>
            <w:r>
              <w:rPr>
                <w:rFonts w:cs="Arial" w:ascii="Arial" w:hAnsi="Arial"/>
                <w:sz w:val="24"/>
              </w:rPr>
              <w:t>Business Start</w:t>
            </w:r>
            <w:r>
              <w:rPr>
                <w:rFonts w:cs="Arial" w:ascii="Arial" w:hAnsi="Arial"/>
                <w:sz w:val="24"/>
                <w:shd w:fill="FFFF00" w:val="clear"/>
              </w:rPr>
              <w:t>u</w:t>
            </w:r>
            <w:r>
              <w:rPr>
                <w:rFonts w:cs="Arial" w:ascii="Arial" w:hAnsi="Arial"/>
                <w:sz w:val="24"/>
              </w:rPr>
              <w:t>ps</w:t>
            </w:r>
          </w:p>
        </w:tc>
        <w:tc>
          <w:tcPr>
            <w:tcW w:w="11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00" w:val="clear"/>
            <w:textDirection w:val="tbRl"/>
          </w:tcPr>
          <w:p>
            <w:pPr>
              <w:pStyle w:val="Normal"/>
              <w:ind w:start="113" w:end="113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Leadership/Mgt</w:t>
            </w:r>
          </w:p>
        </w:tc>
      </w:tr>
      <w:tr>
        <w:trPr>
          <w:trHeight w:val="120" w:hRule="exact"/>
        </w:trPr>
        <w:tc>
          <w:tcPr>
            <w:tcW w:w="2268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34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0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7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1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78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56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>
          <w:trHeight w:val="722" w:hRule="atLeast"/>
        </w:trPr>
        <w:tc>
          <w:tcPr>
            <w:tcW w:w="2268" w:type="dxa"/>
            <w:tcBorders>
              <w:start w:val="single" w:sz="4" w:space="0" w:color="000000"/>
            </w:tcBorders>
            <w:shd w:fill="00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Heading1"/>
              <w:ind w:hanging="0" w:start="0"/>
              <w:rPr/>
            </w:pPr>
            <w:r>
              <w:rPr/>
              <w:t>Barry Pearce</w:t>
            </w:r>
          </w:p>
        </w:tc>
        <w:tc>
          <w:tcPr>
            <w:tcW w:w="3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57" w:type="dxa"/>
            <w:tcBorders/>
            <w:shd w:fill="FF0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8</w:t>
            </w:r>
          </w:p>
        </w:tc>
        <w:tc>
          <w:tcPr>
            <w:tcW w:w="20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01" w:type="dxa"/>
            <w:tcBorders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7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23" w:type="dxa"/>
            <w:tcBorders>
              <w:start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89" w:type="dxa"/>
            <w:tcBorders>
              <w:start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39" w:type="dxa"/>
            <w:tcBorders>
              <w:start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4" w:type="dxa"/>
            <w:tcBorders>
              <w:start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71" w:type="dxa"/>
            <w:tcBorders>
              <w:start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49" w:type="dxa"/>
            <w:tcBorders>
              <w:start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start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89" w:type="dxa"/>
            <w:tcBorders>
              <w:start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>
          <w:trHeight w:val="120" w:hRule="exact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34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0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7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23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89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39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4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71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49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89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7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5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>
          <w:trHeight w:val="718" w:hRule="atLeast"/>
        </w:trPr>
        <w:tc>
          <w:tcPr>
            <w:tcW w:w="2268" w:type="dxa"/>
            <w:tcBorders>
              <w:top w:val="single" w:sz="4" w:space="0" w:color="000000"/>
              <w:start w:val="single" w:sz="4" w:space="0" w:color="000000"/>
            </w:tcBorders>
            <w:shd w:fill="00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Kristen Albrecht</w:t>
            </w:r>
          </w:p>
        </w:tc>
        <w:tc>
          <w:tcPr>
            <w:tcW w:w="3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57" w:type="dxa"/>
            <w:tcBorders/>
            <w:shd w:fill="FF0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6</w:t>
            </w:r>
          </w:p>
        </w:tc>
        <w:tc>
          <w:tcPr>
            <w:tcW w:w="20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01" w:type="dxa"/>
            <w:tcBorders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>
          <w:trHeight w:val="120" w:hRule="exact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34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0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7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23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8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3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71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4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8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7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5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>
          <w:trHeight w:val="715" w:hRule="atLeast"/>
        </w:trPr>
        <w:tc>
          <w:tcPr>
            <w:tcW w:w="2268" w:type="dxa"/>
            <w:tcBorders>
              <w:top w:val="single" w:sz="4" w:space="0" w:color="000000"/>
              <w:start w:val="single" w:sz="4" w:space="0" w:color="000000"/>
            </w:tcBorders>
            <w:shd w:fill="00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Mark Friedman</w:t>
            </w:r>
          </w:p>
        </w:tc>
        <w:tc>
          <w:tcPr>
            <w:tcW w:w="3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57" w:type="dxa"/>
            <w:tcBorders/>
            <w:shd w:fill="FF0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5</w:t>
            </w:r>
          </w:p>
        </w:tc>
        <w:tc>
          <w:tcPr>
            <w:tcW w:w="20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01" w:type="dxa"/>
            <w:tcBorders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>
          <w:trHeight w:val="120" w:hRule="exact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34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0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7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23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8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3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71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4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8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7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5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>
          <w:trHeight w:val="710" w:hRule="atLeast"/>
        </w:trPr>
        <w:tc>
          <w:tcPr>
            <w:tcW w:w="2268" w:type="dxa"/>
            <w:tcBorders>
              <w:top w:val="single" w:sz="4" w:space="0" w:color="000000"/>
              <w:start w:val="single" w:sz="4" w:space="0" w:color="000000"/>
            </w:tcBorders>
            <w:shd w:fill="00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Stephen Schwarz</w:t>
            </w:r>
          </w:p>
        </w:tc>
        <w:tc>
          <w:tcPr>
            <w:tcW w:w="3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57" w:type="dxa"/>
            <w:tcBorders/>
            <w:shd w:fill="FF0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4</w:t>
            </w:r>
          </w:p>
        </w:tc>
        <w:tc>
          <w:tcPr>
            <w:tcW w:w="20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01" w:type="dxa"/>
            <w:tcBorders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>
          <w:trHeight w:val="120" w:hRule="exact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34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0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7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23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8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3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71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4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8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7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5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>
          <w:trHeight w:val="653" w:hRule="atLeast"/>
        </w:trPr>
        <w:tc>
          <w:tcPr>
            <w:tcW w:w="2268" w:type="dxa"/>
            <w:tcBorders>
              <w:start w:val="single" w:sz="4" w:space="0" w:color="000000"/>
            </w:tcBorders>
            <w:shd w:fill="00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Neil Tarling</w:t>
            </w:r>
          </w:p>
        </w:tc>
        <w:tc>
          <w:tcPr>
            <w:tcW w:w="3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57" w:type="dxa"/>
            <w:tcBorders/>
            <w:shd w:fill="FF0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7</w:t>
            </w:r>
          </w:p>
        </w:tc>
        <w:tc>
          <w:tcPr>
            <w:tcW w:w="20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01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>
          <w:trHeight w:val="120" w:hRule="exact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34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0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7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23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8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3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71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4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8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7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5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>
          <w:trHeight w:val="666" w:hRule="atLeast"/>
        </w:trPr>
        <w:tc>
          <w:tcPr>
            <w:tcW w:w="2268" w:type="dxa"/>
            <w:tcBorders>
              <w:top w:val="single" w:sz="4" w:space="0" w:color="000000"/>
              <w:start w:val="single" w:sz="4" w:space="0" w:color="000000"/>
            </w:tcBorders>
            <w:shd w:fill="00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Mark Wright</w:t>
            </w:r>
          </w:p>
        </w:tc>
        <w:tc>
          <w:tcPr>
            <w:tcW w:w="3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57" w:type="dxa"/>
            <w:tcBorders/>
            <w:shd w:fill="FF0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2</w:t>
            </w:r>
          </w:p>
        </w:tc>
        <w:tc>
          <w:tcPr>
            <w:tcW w:w="20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01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>
          <w:trHeight w:val="120" w:hRule="exact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34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0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7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23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8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3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71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4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8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7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5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>
          <w:trHeight w:val="652" w:hRule="atLeast"/>
        </w:trPr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00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Denae Umbower</w:t>
            </w:r>
          </w:p>
        </w:tc>
        <w:tc>
          <w:tcPr>
            <w:tcW w:w="3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57" w:type="dxa"/>
            <w:tcBorders>
              <w:bottom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3</w:t>
            </w:r>
          </w:p>
        </w:tc>
        <w:tc>
          <w:tcPr>
            <w:tcW w:w="20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01" w:type="dxa"/>
            <w:tcBorders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>
          <w:trHeight w:val="120" w:hRule="exact"/>
        </w:trPr>
        <w:tc>
          <w:tcPr>
            <w:tcW w:w="2268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34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0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01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7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23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8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3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71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4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8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1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7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5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>
          <w:trHeight w:val="666" w:hRule="atLeast"/>
        </w:trPr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00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Ian Sloman</w:t>
            </w:r>
          </w:p>
        </w:tc>
        <w:tc>
          <w:tcPr>
            <w:tcW w:w="3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57" w:type="dxa"/>
            <w:tcBorders/>
            <w:shd w:fill="FF0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2</w:t>
            </w:r>
          </w:p>
        </w:tc>
        <w:tc>
          <w:tcPr>
            <w:tcW w:w="20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79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1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orient="landscape" w:w="16838" w:h="11906"/>
      <w:pgMar w:left="567" w:right="567" w:gutter="0" w:header="0" w:top="680" w:footer="0" w:bottom="6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2000-05-08T13:40:00Z</dcterms:created>
  <dc:creator>KFerrari</dc:creator>
  <dc:description/>
  <dc:language>en-CA</dc:language>
  <cp:lastModifiedBy>BPEARCE</cp:lastModifiedBy>
  <dcterms:modified xsi:type="dcterms:W3CDTF">2000-05-08T13:40:00Z</dcterms:modified>
  <cp:revision>2</cp:revision>
  <dc:subject/>
  <dc:title>Enron Commercial Support Team Brings Almost 30 Years of Enron Experience Across Key Commodities and International Markets</dc:title>
</cp:coreProperties>
</file>