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tbl>
      <w:tblPr>
        <w:tblW w:w="11016" w:type="dxa"/>
        <w:jc w:val="start"/>
        <w:tblInd w:w="-456" w:type="dxa"/>
        <w:tblLayout w:type="fixed"/>
        <w:tblCellMar>
          <w:top w:w="0" w:type="dxa"/>
          <w:start w:w="120" w:type="dxa"/>
          <w:bottom w:w="0" w:type="dxa"/>
          <w:end w:w="120" w:type="dxa"/>
        </w:tblCellMar>
      </w:tblPr>
      <w:tblGrid>
        <w:gridCol w:w="1392"/>
        <w:gridCol w:w="5046"/>
        <w:gridCol w:w="1985"/>
        <w:gridCol w:w="2593"/>
      </w:tblGrid>
      <w:tr>
        <w:trPr/>
        <w:tc>
          <w:tcPr>
            <w:tcW w:w="1392" w:type="dxa"/>
            <w:tcBorders/>
          </w:tcPr>
          <w:p>
            <w:pPr>
              <w:pStyle w:val="Normal"/>
              <w:tabs>
                <w:tab w:val="left" w:pos="-720" w:leader="none"/>
                <w:tab w:val="left" w:pos="-576" w:leader="none"/>
                <w:tab w:val="left" w:pos="0" w:leader="none"/>
                <w:tab w:val="left" w:pos="54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To:</w:t>
            </w:r>
          </w:p>
        </w:tc>
        <w:tc>
          <w:tcPr>
            <w:tcW w:w="5046"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rPr>
            </w:pPr>
            <w:r>
              <w:rPr>
                <w:rFonts w:cs="Times New Roman" w:ascii="Times New Roman" w:hAnsi="Times New Roman"/>
                <w:spacing w:val="-3"/>
              </w:rPr>
              <w:t>All Enron Net Works Employees</w:t>
            </w:r>
          </w:p>
        </w:tc>
        <w:tc>
          <w:tcPr>
            <w:tcW w:w="1985" w:type="dxa"/>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rPr>
            </w:pPr>
            <w:r>
              <w:rPr>
                <w:rFonts w:cs="Times New Roman" w:ascii="Times New Roman" w:hAnsi="Times New Roman"/>
                <w:spacing w:val="-3"/>
              </w:rPr>
            </w:r>
          </w:p>
        </w:tc>
        <w:tc>
          <w:tcPr>
            <w:tcW w:w="2593" w:type="dxa"/>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rPr>
            </w:pPr>
            <w:r>
              <w:rPr>
                <w:rFonts w:cs="Times New Roman" w:ascii="Times New Roman" w:hAnsi="Times New Roman"/>
                <w:spacing w:val="-3"/>
              </w:rPr>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From:</w:t>
            </w:r>
          </w:p>
        </w:tc>
        <w:tc>
          <w:tcPr>
            <w:tcW w:w="5046" w:type="dxa"/>
            <w:tcBorders/>
          </w:tcPr>
          <w:p>
            <w:pPr>
              <w:pStyle w:val="Footer"/>
              <w:tabs>
                <w:tab w:val="clear" w:pos="4320"/>
                <w:tab w:val="clear" w:pos="8640"/>
                <w:tab w:val="left" w:pos="-720" w:leader="none"/>
                <w:tab w:val="left" w:pos="540" w:leader="none"/>
              </w:tabs>
              <w:suppressAutoHyphens w:val="true"/>
              <w:spacing w:before="90" w:after="54"/>
              <w:rPr>
                <w:rFonts w:ascii="Times New Roman" w:hAnsi="Times New Roman" w:cs="Times New Roman"/>
                <w:spacing w:val="-3"/>
              </w:rPr>
            </w:pPr>
            <w:r>
              <w:rPr>
                <w:rFonts w:cs="Times New Roman" w:ascii="Times New Roman" w:hAnsi="Times New Roman"/>
                <w:spacing w:val="-3"/>
              </w:rPr>
              <w:t>Office of the Chairman</w:t>
            </w:r>
          </w:p>
        </w:tc>
        <w:tc>
          <w:tcPr>
            <w:tcW w:w="1985" w:type="dxa"/>
            <w:tcBorders/>
          </w:tcPr>
          <w:p>
            <w:pPr>
              <w:pStyle w:val="Normal"/>
              <w:tabs>
                <w:tab w:val="clear" w:pos="540"/>
                <w:tab w:val="left" w:pos="-720" w:leader="none"/>
                <w:tab w:val="left" w:pos="318" w:leader="none"/>
              </w:tabs>
              <w:suppressAutoHyphens w:val="true"/>
              <w:snapToGrid w:val="false"/>
              <w:spacing w:before="90" w:after="54"/>
              <w:ind w:end="347"/>
              <w:jc w:val="end"/>
              <w:rPr>
                <w:rFonts w:ascii="Times New Roman" w:hAnsi="Times New Roman" w:cs="Times New Roman"/>
                <w:spacing w:val="-2"/>
              </w:rPr>
            </w:pPr>
            <w:r>
              <w:rPr>
                <w:rFonts w:cs="Times New Roman" w:ascii="Times New Roman" w:hAnsi="Times New Roman"/>
                <w:spacing w:val="-2"/>
              </w:rPr>
            </w:r>
          </w:p>
        </w:tc>
        <w:tc>
          <w:tcPr>
            <w:tcW w:w="2593" w:type="dxa"/>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rPr>
            </w:pPr>
            <w:r>
              <w:rPr>
                <w:rFonts w:cs="Times New Roman" w:ascii="Times New Roman" w:hAnsi="Times New Roman"/>
                <w:spacing w:val="-3"/>
              </w:rPr>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Subject:</w:t>
            </w:r>
          </w:p>
        </w:tc>
        <w:tc>
          <w:tcPr>
            <w:tcW w:w="5046"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rPr>
            </w:pPr>
            <w:r>
              <w:rPr>
                <w:rFonts w:cs="Times New Roman" w:ascii="Times New Roman" w:hAnsi="Times New Roman"/>
                <w:spacing w:val="-3"/>
              </w:rPr>
              <w:t xml:space="preserve">Travel &amp; Expense Reimbursement Policy </w:t>
            </w:r>
          </w:p>
        </w:tc>
        <w:tc>
          <w:tcPr>
            <w:tcW w:w="1985"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Date:</w:t>
            </w:r>
          </w:p>
        </w:tc>
        <w:tc>
          <w:tcPr>
            <w:tcW w:w="2593"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rPr>
            </w:pPr>
            <w:r>
              <w:rPr>
                <w:rFonts w:cs="Times New Roman" w:ascii="Times New Roman" w:hAnsi="Times New Roman"/>
                <w:spacing w:val="-3"/>
              </w:rPr>
              <w:t>January 22, 2001</w:t>
            </w:r>
          </w:p>
        </w:tc>
      </w:tr>
      <w:tr>
        <w:trPr/>
        <w:tc>
          <w:tcPr>
            <w:tcW w:w="1392"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rPr>
            </w:pPr>
            <w:r>
              <w:rPr>
                <w:rFonts w:cs="Times New Roman" w:ascii="Times New Roman" w:hAnsi="Times New Roman"/>
                <w:spacing w:val="-3"/>
              </w:rPr>
            </w:r>
          </w:p>
        </w:tc>
        <w:tc>
          <w:tcPr>
            <w:tcW w:w="5046"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rPr>
            </w:pPr>
            <w:r>
              <w:rPr>
                <w:rFonts w:cs="Times New Roman" w:ascii="Times New Roman" w:hAnsi="Times New Roman"/>
                <w:spacing w:val="-3"/>
              </w:rPr>
            </w:r>
          </w:p>
        </w:tc>
        <w:tc>
          <w:tcPr>
            <w:tcW w:w="1985"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rPr>
            </w:pPr>
            <w:r>
              <w:rPr>
                <w:rFonts w:cs="Times New Roman" w:ascii="Times New Roman" w:hAnsi="Times New Roman"/>
                <w:spacing w:val="-3"/>
              </w:rPr>
            </w:r>
          </w:p>
        </w:tc>
        <w:tc>
          <w:tcPr>
            <w:tcW w:w="2593"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rPr>
            </w:pPr>
            <w:r>
              <w:rPr>
                <w:rFonts w:cs="Times New Roman" w:ascii="Times New Roman" w:hAnsi="Times New Roman"/>
                <w:spacing w:val="-3"/>
              </w:rPr>
            </w:r>
          </w:p>
        </w:tc>
      </w:tr>
    </w:tbl>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t>Please review and note the following guidelines and procedures for travel and expense reimbursement.  All employees and travelers are expected to read, understand and abide by the following.  Expense reports and reimbursement requests not in compliance with the following will be rejected and returned:</w:t>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540" w:leader="none"/>
        </w:tabs>
        <w:suppressAutoHyphens w:val="true"/>
        <w:ind w:hanging="540" w:start="540" w:end="144"/>
        <w:jc w:val="both"/>
        <w:rPr>
          <w:rFonts w:ascii="Times New Roman" w:hAnsi="Times New Roman" w:cs="Times New Roman"/>
          <w:spacing w:val="-3"/>
        </w:rPr>
      </w:pPr>
      <w:r>
        <w:rPr>
          <w:rFonts w:cs="Times New Roman" w:ascii="Times New Roman" w:hAnsi="Times New Roman"/>
          <w:spacing w:val="-3"/>
        </w:rPr>
        <w:t>1.</w:t>
        <w:tab/>
        <w:t xml:space="preserve">No expenses for reimbursement will be accepted for payment without </w:t>
      </w:r>
      <w:r>
        <w:rPr>
          <w:rFonts w:cs="Times New Roman" w:ascii="Times New Roman" w:hAnsi="Times New Roman"/>
          <w:spacing w:val="-3"/>
          <w:u w:val="single"/>
        </w:rPr>
        <w:t>original</w:t>
      </w:r>
      <w:r>
        <w:rPr>
          <w:rFonts w:cs="Times New Roman" w:ascii="Times New Roman" w:hAnsi="Times New Roman"/>
          <w:spacing w:val="-3"/>
        </w:rPr>
        <w:t xml:space="preserve"> receipts.  For example, no reimbursements will be made for copies of American Express statements or airline tickets, etc.  </w:t>
      </w:r>
      <w:r>
        <w:rPr>
          <w:rFonts w:cs="Times New Roman" w:ascii="Times New Roman" w:hAnsi="Times New Roman"/>
          <w:b/>
          <w:spacing w:val="-3"/>
        </w:rPr>
        <w:t>Exception cases will require written certification from the employee regarding the lost receipt(s), and must be signed and attached to the original expense report.</w:t>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540" w:leader="none"/>
        </w:tabs>
        <w:suppressAutoHyphens w:val="true"/>
        <w:ind w:hanging="540" w:start="540" w:end="144"/>
        <w:jc w:val="both"/>
        <w:rPr/>
      </w:pPr>
      <w:r>
        <w:rPr>
          <w:rFonts w:cs="Times New Roman" w:ascii="Times New Roman" w:hAnsi="Times New Roman"/>
          <w:spacing w:val="-3"/>
        </w:rPr>
        <w:t>2.</w:t>
        <w:tab/>
        <w:t xml:space="preserve">No expenses will be accepted or reimbursed that do not include an </w:t>
      </w:r>
      <w:r>
        <w:rPr>
          <w:rFonts w:cs="Times New Roman" w:ascii="Times New Roman" w:hAnsi="Times New Roman"/>
          <w:spacing w:val="-3"/>
          <w:u w:val="single"/>
        </w:rPr>
        <w:t>itemized</w:t>
      </w:r>
      <w:r>
        <w:rPr>
          <w:rFonts w:cs="Times New Roman" w:ascii="Times New Roman" w:hAnsi="Times New Roman"/>
          <w:spacing w:val="-3"/>
        </w:rPr>
        <w:t xml:space="preserve"> receipt.  For example, a receipt stating “general office supplies” from Office Max is not acceptable.  The items must be clearly itemized and listed.</w:t>
      </w:r>
    </w:p>
    <w:p>
      <w:pPr>
        <w:pStyle w:val="Normal"/>
        <w:tabs>
          <w:tab w:val="left" w:pos="-720" w:leader="none"/>
          <w:tab w:val="left" w:pos="540" w:leader="none"/>
        </w:tabs>
        <w:suppressAutoHyphens w:val="true"/>
        <w:ind w:hanging="540" w:start="540" w:end="144"/>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540" w:leader="none"/>
        </w:tabs>
        <w:suppressAutoHyphens w:val="true"/>
        <w:ind w:hanging="540" w:start="540" w:end="144"/>
        <w:jc w:val="both"/>
        <w:rPr>
          <w:rFonts w:ascii="Times New Roman" w:hAnsi="Times New Roman" w:cs="Times New Roman"/>
          <w:spacing w:val="-3"/>
        </w:rPr>
      </w:pPr>
      <w:r>
        <w:rPr>
          <w:rFonts w:cs="Times New Roman" w:ascii="Times New Roman" w:hAnsi="Times New Roman"/>
          <w:spacing w:val="-3"/>
        </w:rPr>
        <w:t>3.</w:t>
        <w:tab/>
      </w:r>
      <w:r>
        <w:rPr>
          <w:rFonts w:cs="Times New Roman" w:ascii="Times New Roman" w:hAnsi="Times New Roman"/>
          <w:b/>
          <w:spacing w:val="-3"/>
        </w:rPr>
        <w:t>No receipts will be accepted that are over 45 days old.</w:t>
      </w:r>
    </w:p>
    <w:p>
      <w:pPr>
        <w:pStyle w:val="Normal"/>
        <w:tabs>
          <w:tab w:val="left" w:pos="-720" w:leader="none"/>
          <w:tab w:val="left" w:pos="540" w:leader="none"/>
        </w:tabs>
        <w:suppressAutoHyphens w:val="true"/>
        <w:ind w:hanging="540" w:start="540" w:end="144"/>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540" w:leader="none"/>
        </w:tabs>
        <w:suppressAutoHyphens w:val="true"/>
        <w:ind w:hanging="540" w:start="540" w:end="144"/>
        <w:jc w:val="both"/>
        <w:rPr>
          <w:rFonts w:ascii="Times New Roman" w:hAnsi="Times New Roman" w:cs="Times New Roman"/>
          <w:spacing w:val="-3"/>
        </w:rPr>
      </w:pPr>
      <w:r>
        <w:rPr>
          <w:rFonts w:cs="Times New Roman" w:ascii="Times New Roman" w:hAnsi="Times New Roman"/>
          <w:spacing w:val="-3"/>
        </w:rPr>
        <w:t>4.</w:t>
        <w:tab/>
        <w:t>No meals are to be expensed unless the following apply:  a) are directly related to out-of-town business travel and/or b) are pre-approved and documented within the Guidelines of the Company.  For example, lunches with co-workers, friends, etc. are not acceptable business related expenses and will not be reimbursed by the Company.  In compliance with Company Guidelines, the highest ranking employee should pay for the meal and/or business entertainment.  The names and titles of all attendees and the exact business purpose must be listed to be eligible for company reimbursement.</w:t>
      </w:r>
    </w:p>
    <w:p>
      <w:pPr>
        <w:pStyle w:val="Normal"/>
        <w:tabs>
          <w:tab w:val="left" w:pos="-720" w:leader="none"/>
          <w:tab w:val="left" w:pos="540" w:leader="none"/>
        </w:tabs>
        <w:suppressAutoHyphens w:val="true"/>
        <w:ind w:hanging="540" w:start="540" w:end="144"/>
        <w:jc w:val="both"/>
        <w:rPr>
          <w:rFonts w:ascii="Times New Roman" w:hAnsi="Times New Roman" w:cs="Times New Roman"/>
          <w:spacing w:val="-3"/>
        </w:rPr>
      </w:pPr>
      <w:r>
        <w:rPr>
          <w:rFonts w:cs="Times New Roman" w:ascii="Times New Roman" w:hAnsi="Times New Roman"/>
          <w:spacing w:val="-3"/>
        </w:rPr>
      </w:r>
    </w:p>
    <w:p>
      <w:pPr>
        <w:pStyle w:val="Normal"/>
        <w:tabs>
          <w:tab w:val="clear" w:pos="540"/>
          <w:tab w:val="left" w:pos="-720" w:leader="none"/>
          <w:tab w:val="left" w:pos="0" w:leader="none"/>
        </w:tabs>
        <w:suppressAutoHyphens w:val="true"/>
        <w:ind w:hanging="540" w:start="540" w:end="144"/>
        <w:jc w:val="both"/>
        <w:rPr/>
      </w:pPr>
      <w:r>
        <w:rPr>
          <w:rFonts w:cs="Times New Roman" w:ascii="Times New Roman" w:hAnsi="Times New Roman"/>
          <w:spacing w:val="-3"/>
        </w:rPr>
        <w:t>5.</w:t>
        <w:tab/>
        <w:t xml:space="preserve">Corporate American Express card accounts should be settled promptly upon receipt of the monthly statement and balances should not be carried over from month-to-month.  The American Express corporate travel card is primarily for business related expenses.  Each American Express corporate card holder is responsible for timely payment of any non-business related expenses as well as reimbursable items.  Misuse of the card or failure to pay monthly charges may result in card cancellation and disciplinary action, up to and including termination.  </w:t>
      </w:r>
      <w:r>
        <w:rPr>
          <w:rFonts w:cs="Times New Roman" w:ascii="Times New Roman" w:hAnsi="Times New Roman"/>
          <w:b/>
          <w:spacing w:val="-3"/>
        </w:rPr>
        <w:t>It is not our policy to pay American Express accounts directly.  All charges must be filed on a company expense form with appropriate documentation to be eligible for reimbursement.</w:t>
      </w:r>
      <w:r>
        <w:br w:type="page"/>
      </w:r>
    </w:p>
    <w:p>
      <w:pPr>
        <w:pStyle w:val="Normal"/>
        <w:tabs>
          <w:tab w:val="left" w:pos="-720" w:leader="none"/>
          <w:tab w:val="left" w:pos="540" w:leader="none"/>
        </w:tabs>
        <w:suppressAutoHyphens w:val="true"/>
        <w:ind w:hanging="540" w:start="540" w:end="144"/>
        <w:jc w:val="both"/>
        <w:rPr>
          <w:rFonts w:ascii="Times New Roman" w:hAnsi="Times New Roman" w:cs="Times New Roman"/>
          <w:b/>
          <w:spacing w:val="-3"/>
        </w:rPr>
      </w:pPr>
      <w:r>
        <w:rPr>
          <w:rFonts w:cs="Times New Roman" w:ascii="Times New Roman" w:hAnsi="Times New Roman"/>
          <w:b/>
          <w:spacing w:val="-3"/>
        </w:rPr>
      </w:r>
    </w:p>
    <w:p>
      <w:pPr>
        <w:pStyle w:val="Normal"/>
        <w:tabs>
          <w:tab w:val="left" w:pos="-720" w:leader="none"/>
          <w:tab w:val="left" w:pos="540" w:leader="none"/>
        </w:tabs>
        <w:suppressAutoHyphens w:val="true"/>
        <w:ind w:hanging="540" w:start="540" w:end="144"/>
        <w:jc w:val="both"/>
        <w:rPr>
          <w:rFonts w:ascii="Times New Roman" w:hAnsi="Times New Roman" w:cs="Times New Roman"/>
          <w:spacing w:val="-3"/>
        </w:rPr>
      </w:pPr>
      <w:r>
        <w:rPr>
          <w:rFonts w:cs="Times New Roman" w:ascii="Times New Roman" w:hAnsi="Times New Roman"/>
          <w:spacing w:val="-3"/>
        </w:rPr>
        <w:t>6.</w:t>
        <w:tab/>
        <w:t>Expense reports should be completed and submitted for reimbursement on at least a monthly basis.</w:t>
      </w:r>
    </w:p>
    <w:p>
      <w:pPr>
        <w:pStyle w:val="Normal"/>
        <w:tabs>
          <w:tab w:val="left" w:pos="-720" w:leader="none"/>
          <w:tab w:val="left" w:pos="540" w:leader="none"/>
        </w:tabs>
        <w:suppressAutoHyphens w:val="true"/>
        <w:ind w:hanging="540" w:start="540" w:end="144"/>
        <w:jc w:val="both"/>
        <w:rPr>
          <w:rFonts w:ascii="Times New Roman" w:hAnsi="Times New Roman" w:cs="Times New Roman"/>
          <w:spacing w:val="-3"/>
        </w:rPr>
      </w:pPr>
      <w:r>
        <w:rPr>
          <w:rFonts w:cs="Times New Roman" w:ascii="Times New Roman" w:hAnsi="Times New Roman"/>
          <w:spacing w:val="-3"/>
        </w:rPr>
      </w:r>
    </w:p>
    <w:p>
      <w:pPr>
        <w:pStyle w:val="Normal"/>
        <w:numPr>
          <w:ilvl w:val="0"/>
          <w:numId w:val="2"/>
        </w:numPr>
        <w:tabs>
          <w:tab w:val="left" w:pos="-720" w:leader="none"/>
          <w:tab w:val="left" w:pos="540" w:leader="none"/>
        </w:tabs>
        <w:suppressAutoHyphens w:val="true"/>
        <w:ind w:hanging="540" w:start="540" w:end="144"/>
        <w:jc w:val="both"/>
        <w:rPr>
          <w:rFonts w:ascii="Times New Roman" w:hAnsi="Times New Roman" w:cs="Times New Roman"/>
          <w:spacing w:val="-3"/>
        </w:rPr>
      </w:pPr>
      <w:r>
        <w:rPr>
          <w:rFonts w:cs="Times New Roman" w:ascii="Times New Roman" w:hAnsi="Times New Roman"/>
          <w:spacing w:val="-3"/>
        </w:rPr>
        <w:t>The Company will not reimburse personal gift items.  No gifts for peers, supervisors, etc. should be expensed.  Non-reimbursable items include, but are not limited to, baby shower birthday celebration supplies and gifts, etc.</w:t>
      </w:r>
    </w:p>
    <w:p>
      <w:pPr>
        <w:pStyle w:val="Normal"/>
        <w:tabs>
          <w:tab w:val="clear" w:pos="540"/>
          <w:tab w:val="left" w:pos="-720" w:leader="none"/>
        </w:tabs>
        <w:suppressAutoHyphens w:val="true"/>
        <w:ind w:end="144"/>
        <w:jc w:val="both"/>
        <w:rPr>
          <w:rFonts w:ascii="Times New Roman" w:hAnsi="Times New Roman" w:cs="Times New Roman"/>
          <w:spacing w:val="-3"/>
        </w:rPr>
      </w:pPr>
      <w:r>
        <w:rPr>
          <w:rFonts w:cs="Times New Roman" w:ascii="Times New Roman" w:hAnsi="Times New Roman"/>
          <w:spacing w:val="-3"/>
        </w:rPr>
      </w:r>
    </w:p>
    <w:p>
      <w:pPr>
        <w:pStyle w:val="Normal"/>
        <w:numPr>
          <w:ilvl w:val="0"/>
          <w:numId w:val="2"/>
        </w:numPr>
        <w:tabs>
          <w:tab w:val="left" w:pos="-720" w:leader="none"/>
          <w:tab w:val="left" w:pos="540" w:leader="none"/>
        </w:tabs>
        <w:suppressAutoHyphens w:val="true"/>
        <w:ind w:hanging="540" w:start="540" w:end="144"/>
        <w:jc w:val="both"/>
        <w:rPr>
          <w:rFonts w:ascii="Times New Roman" w:hAnsi="Times New Roman" w:cs="Times New Roman"/>
          <w:spacing w:val="-3"/>
        </w:rPr>
      </w:pPr>
      <w:r>
        <w:rPr>
          <w:rFonts w:cs="Times New Roman" w:ascii="Times New Roman" w:hAnsi="Times New Roman"/>
          <w:spacing w:val="-3"/>
        </w:rPr>
        <w:t>All employees traveling international on business who opt to fly coach (or the non-refundable fares) to save the company significant dollars (greater than $2,500), will be entitled to a $750.00 stipend upon filing of their expense report.  The stipend may be obtained by filing a payment request with supporting documentation.  This stipend does not apply to travel to Canada.</w:t>
      </w:r>
    </w:p>
    <w:p>
      <w:pPr>
        <w:pStyle w:val="Normal"/>
        <w:tabs>
          <w:tab w:val="clear" w:pos="540"/>
          <w:tab w:val="left" w:pos="-720" w:leader="none"/>
        </w:tabs>
        <w:suppressAutoHyphens w:val="true"/>
        <w:ind w:end="144"/>
        <w:jc w:val="both"/>
        <w:rPr>
          <w:rFonts w:ascii="Times New Roman" w:hAnsi="Times New Roman" w:cs="Times New Roman"/>
          <w:spacing w:val="-3"/>
        </w:rPr>
      </w:pPr>
      <w:r>
        <w:rPr>
          <w:rFonts w:cs="Times New Roman" w:ascii="Times New Roman" w:hAnsi="Times New Roman"/>
          <w:spacing w:val="-3"/>
        </w:rPr>
      </w:r>
    </w:p>
    <w:p>
      <w:pPr>
        <w:pStyle w:val="Normal"/>
        <w:numPr>
          <w:ilvl w:val="0"/>
          <w:numId w:val="3"/>
        </w:numPr>
        <w:tabs>
          <w:tab w:val="left" w:pos="-720" w:leader="none"/>
          <w:tab w:val="center" w:pos="360" w:leader="none"/>
          <w:tab w:val="center" w:pos="540" w:leader="none"/>
        </w:tabs>
        <w:suppressAutoHyphens w:val="true"/>
        <w:rPr>
          <w:rFonts w:ascii="Times New Roman" w:hAnsi="Times New Roman" w:cs="Times New Roman"/>
          <w:spacing w:val="-3"/>
        </w:rPr>
      </w:pPr>
      <w:r>
        <w:rPr>
          <w:rFonts w:cs="Times New Roman" w:ascii="Times New Roman" w:hAnsi="Times New Roman"/>
          <w:spacing w:val="-3"/>
        </w:rPr>
        <w:t xml:space="preserve">   </w:t>
      </w:r>
      <w:r>
        <w:rPr>
          <w:rFonts w:cs="Times New Roman" w:ascii="Times New Roman" w:hAnsi="Times New Roman"/>
          <w:spacing w:val="-3"/>
          <w:u w:val="single"/>
        </w:rPr>
        <w:t>All expense reports</w:t>
      </w:r>
      <w:r>
        <w:rPr>
          <w:rFonts w:cs="Times New Roman" w:ascii="Times New Roman" w:hAnsi="Times New Roman"/>
          <w:spacing w:val="-3"/>
        </w:rPr>
        <w:t xml:space="preserve"> will be signed by the employee’s immediate supervisor and the RC owner.  All expense reports should be audited by the departmental assistant to ensure compliance with company policy and sent to the </w:t>
      </w:r>
      <w:r>
        <w:rPr>
          <w:rFonts w:cs="Times New Roman" w:ascii="Times New Roman" w:hAnsi="Times New Roman"/>
          <w:b/>
          <w:spacing w:val="-3"/>
          <w:u w:val="single"/>
        </w:rPr>
        <w:t>Departmental VP for final auditing and signature</w:t>
      </w:r>
      <w:r>
        <w:rPr>
          <w:rFonts w:cs="Times New Roman" w:ascii="Times New Roman" w:hAnsi="Times New Roman"/>
          <w:spacing w:val="-3"/>
        </w:rPr>
        <w:t xml:space="preserve">.  </w:t>
      </w:r>
      <w:r>
        <w:rPr>
          <w:rFonts w:cs="Times New Roman" w:ascii="Times New Roman" w:hAnsi="Times New Roman"/>
          <w:b/>
          <w:spacing w:val="-3"/>
          <w:u w:val="single"/>
        </w:rPr>
        <w:t>No exceptions</w:t>
      </w:r>
      <w:r>
        <w:rPr>
          <w:rFonts w:cs="Times New Roman" w:ascii="Times New Roman" w:hAnsi="Times New Roman"/>
          <w:spacing w:val="-3"/>
        </w:rPr>
        <w:t xml:space="preserve">. </w:t>
      </w:r>
      <w:r>
        <w:rPr>
          <w:rFonts w:cs="Times New Roman" w:ascii="Times New Roman" w:hAnsi="Times New Roman"/>
          <w:b/>
          <w:bCs/>
          <w:spacing w:val="-3"/>
        </w:rPr>
        <w:t>Louise and</w:t>
      </w:r>
      <w:r>
        <w:rPr>
          <w:rFonts w:cs="Times New Roman" w:ascii="Times New Roman" w:hAnsi="Times New Roman"/>
          <w:spacing w:val="-3"/>
        </w:rPr>
        <w:t xml:space="preserve"> </w:t>
      </w:r>
      <w:r>
        <w:rPr>
          <w:rFonts w:cs="Times New Roman" w:ascii="Times New Roman" w:hAnsi="Times New Roman"/>
          <w:b/>
          <w:spacing w:val="-3"/>
        </w:rPr>
        <w:t>Philippe will sign the expense reports for their directs and can be available to sign others in the absence of one of their direct reports.</w:t>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t xml:space="preserve"> </w:t>
      </w:r>
    </w:p>
    <w:p>
      <w:pPr>
        <w:pStyle w:val="Normal"/>
        <w:tabs>
          <w:tab w:val="clear" w:pos="540"/>
          <w:tab w:val="left" w:pos="-720" w:leader="none"/>
        </w:tabs>
        <w:suppressAutoHyphens w:val="true"/>
        <w:ind w:end="144"/>
        <w:jc w:val="both"/>
        <w:rPr>
          <w:rFonts w:ascii="Times New Roman" w:hAnsi="Times New Roman" w:cs="Times New Roman"/>
          <w:spacing w:val="-3"/>
        </w:rPr>
      </w:pPr>
      <w:r>
        <w:rPr>
          <w:rFonts w:cs="Times New Roman" w:ascii="Times New Roman" w:hAnsi="Times New Roman"/>
          <w:spacing w:val="-3"/>
        </w:rPr>
        <w:t>Thank you for your adherence and assistance regarding these procedures.  Prudence and advance planning of T&amp;E will positively impact our costs.</w:t>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r>
    </w:p>
    <w:p>
      <w:pPr>
        <w:pStyle w:val="Heading"/>
        <w:rPr>
          <w:rFonts w:ascii="Times New Roman" w:hAnsi="Times New Roman" w:cs="Times New Roman"/>
          <w:b w:val="false"/>
          <w:sz w:val="16"/>
        </w:rPr>
      </w:pPr>
      <w:r>
        <w:rPr>
          <w:rFonts w:cs="Times New Roman" w:ascii="Times New Roman" w:hAnsi="Times New Roman"/>
          <w:b w:val="false"/>
          <w:sz w:val="16"/>
        </w:rPr>
        <w:t>1/22/01</w:t>
      </w:r>
    </w:p>
    <w:sectPr>
      <w:headerReference w:type="default" r:id="rId3"/>
      <w:headerReference w:type="first" r:id="rId4"/>
      <w:footerReference w:type="default" r:id="rId5"/>
      <w:footerReference w:type="first" r:id="rId6"/>
      <w:type w:val="nextPage"/>
      <w:pgSz w:w="12240" w:h="15840"/>
      <w:pgMar w:left="108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540" w:leader="none"/>
        <w:tab w:val="left" w:pos="3780" w:leader="none"/>
        <w:tab w:val="center" w:pos="7560" w:leader="none"/>
      </w:tabs>
      <w:jc w:val="center"/>
      <w:rPr>
        <w:b/>
        <w:sz w:val="16"/>
      </w:rPr>
    </w:pPr>
    <w:r>
      <w:rPr>
        <w:b/>
        <w:sz w:val="16"/>
      </w:rPr>
      <w:t>Your Personal Best Makes Enron Best</w:t>
      <w:tab/>
      <w:t>Communicate- Facts Are Friendly</w:t>
      <w:tab/>
      <w:tab/>
      <w:t>Better, Faster, Simpler</w:t>
    </w:r>
  </w:p>
  <w:p>
    <w:pPr>
      <w:pStyle w:val="Normal"/>
      <w:tabs>
        <w:tab w:val="left" w:pos="540" w:leader="none"/>
        <w:tab w:val="left" w:pos="3780" w:leader="none"/>
        <w:tab w:val="center" w:pos="756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40"/>
      </w:tabs>
      <w:rPr>
        <w:b/>
        <w:sz w:val="16"/>
      </w:rPr>
    </w:pPr>
    <w:r>
      <w:rPr>
        <w:b/>
        <w:sz w:val="16"/>
      </w:rPr>
      <w:t>Your Personal Best Makes Enron Best</w:t>
      <w:tab/>
      <w:t>Communicate- Facts Are Friendly</w:t>
      <w:tab/>
      <w:t>Better, Faster, Simpler</w:t>
    </w:r>
  </w:p>
  <w:p>
    <w:pPr>
      <w:pStyle w:val="Normal"/>
      <w:tabs>
        <w:tab w:val="left" w:pos="540" w:leader="none"/>
        <w:tab w:val="left" w:pos="3780" w:leader="none"/>
        <w:tab w:val="center" w:pos="7560" w:leader="none"/>
        <w:tab w:val="right" w:pos="10800" w:leader="none"/>
      </w:tabs>
      <w:rPr>
        <w:sz w:val="12"/>
      </w:rPr>
    </w:pPr>
    <w:r>
      <w:rPr>
        <w:sz w:val="12"/>
      </w:rPr>
      <w:t>Form 000-469-E(7/92)</w:t>
    </w:r>
  </w:p>
  <w:p>
    <w:pPr>
      <w:pStyle w:val="Normal"/>
      <w:tabs>
        <w:tab w:val="left" w:pos="540" w:leader="none"/>
        <w:tab w:val="left" w:pos="3780" w:leader="none"/>
        <w:tab w:val="center" w:pos="756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t>All Enron Net Works Employees</w:t>
    </w:r>
  </w:p>
  <w:p>
    <w:pPr>
      <w:pStyle w:val="Header"/>
      <w:rPr>
        <w:rFonts w:ascii="Times New Roman" w:hAnsi="Times New Roman" w:cs="Times New Roman"/>
      </w:rPr>
    </w:pPr>
    <w:r>
      <w:rPr>
        <w:rFonts w:cs="Times New Roman" w:ascii="Times New Roman" w:hAnsi="Times New Roman"/>
      </w:rPr>
      <w:t>January 22, 2001</w:t>
    </w:r>
  </w:p>
  <w:p>
    <w:pPr>
      <w:pStyle w:val="Header"/>
      <w:rPr>
        <w:rFonts w:ascii="Times New Roman" w:hAnsi="Times New Roman" w:cs="Times New Roman"/>
      </w:rPr>
    </w:pPr>
    <w:r>
      <w:rPr>
        <w:rFonts w:cs="Times New Roman" w:ascii="Times New Roman" w:hAnsi="Times New Roman"/>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-278765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95pt;mso-position-vertical-relative:text;margin-left:208.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540"/>
        </w:tabs>
        <w:ind w:start="540" w:hanging="540"/>
      </w:pPr>
      <w:rPr/>
    </w:lvl>
  </w:abstractNum>
  <w:abstractNum w:abstractNumId="3">
    <w:lvl w:ilvl="0">
      <w:start w:val="9"/>
      <w:numFmt w:val="decimal"/>
      <w:lvlText w:val="%1."/>
      <w:lvlJc w:val="start"/>
      <w:pPr>
        <w:tabs>
          <w:tab w:val="num" w:pos="547"/>
        </w:tabs>
        <w:ind w:start="547" w:hanging="547"/>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Footer"/>
    <w:qFormat/>
    <w:pPr>
      <w:numPr>
        <w:ilvl w:val="2"/>
        <w:numId w:val="1"/>
      </w:numPr>
      <w:ind w:hanging="0" w:start="360" w:end="0"/>
      <w:outlineLvl w:val="2"/>
    </w:pPr>
    <w:rPr>
      <w:rFonts w:ascii="CG Times (W1)" w:hAnsi="CG Times (W1)" w:cs="CG Times (W1)"/>
      <w:b/>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2000-01-14T20:38:00Z</dcterms:created>
  <dc:creator>Enron</dc:creator>
  <dc:description/>
  <dc:language>en-CA</dc:language>
  <cp:lastModifiedBy>pmccurl</cp:lastModifiedBy>
  <cp:lastPrinted>2001-01-22T16:31:00Z</cp:lastPrinted>
  <dcterms:modified xsi:type="dcterms:W3CDTF">2001-01-22T20:16:00Z</dcterms:modified>
  <cp:revision>24</cp:revision>
  <dc:subject/>
  <dc:title> </dc:title>
</cp:coreProperties>
</file>