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autoSpaceDE w:val="false"/>
        <w:ind w:start="360" w:end="0"/>
        <w:rPr>
          <w:rFonts w:ascii="Arial" w:hAnsi="Arial" w:cs="Arial"/>
          <w:b/>
          <w:bCs/>
          <w:sz w:val="22"/>
          <w:szCs w:val="20"/>
        </w:rPr>
      </w:pPr>
      <w:r>
        <w:rPr>
          <w:rFonts w:cs="Arial" w:ascii="Arial" w:hAnsi="Arial"/>
          <w:b/>
          <w:bCs/>
          <w:sz w:val="22"/>
          <w:szCs w:val="20"/>
        </w:rPr>
        <w:t>Inventory levels in two fuels advocate a decent risk/reward spread trade.</w:t>
      </w:r>
    </w:p>
    <w:p>
      <w:pPr>
        <w:pStyle w:val="Normal"/>
        <w:autoSpaceDE w:val="false"/>
        <w:ind w:start="360" w:end="0"/>
        <w:rPr>
          <w:rFonts w:ascii="Arial" w:hAnsi="Arial" w:cs="Arial"/>
          <w:b/>
          <w:bCs/>
          <w:sz w:val="22"/>
          <w:szCs w:val="20"/>
        </w:rPr>
      </w:pPr>
      <w:r>
        <w:rPr>
          <w:rFonts w:cs="Arial" w:ascii="Arial" w:hAnsi="Arial"/>
          <w:b/>
          <w:bCs/>
          <w:sz w:val="22"/>
          <w:szCs w:val="20"/>
        </w:rPr>
      </w:r>
    </w:p>
    <w:p>
      <w:pPr>
        <w:pStyle w:val="BodyTextIndent"/>
        <w:rPr/>
      </w:pPr>
      <w:r>
        <w:rPr/>
        <w:t>Heating Oils recent move lower was exaggerated. Market makers were very short puts to producers in WTI. When crude opened on Monday last week $3 lower, market makers were left long the U/L and as they hedged the delta, pushed the market significantly lower. This move was rationalized as "no demand, weak economy, price had to come off". But ultimately the macro-picture hasn't really changed for product. HO stocks are slightly below 5-year average. PADD I is significantly below 5-year historical. 92% of HO in the winter is made on demand in PADD1. In light of the news Thursday morning about the Coast Guard halting LNG shipment to the Everett terminal should be of concern to the HO end users. If security at the ports is going to be increased and often prevent a timely shipment of cargo, the price of HO has the potential to rally significantly in the winter.</w:t>
      </w:r>
    </w:p>
    <w:p>
      <w:pPr>
        <w:pStyle w:val="Normal"/>
        <w:autoSpaceDE w:val="false"/>
        <w:ind w:start="360" w:end="0"/>
        <w:rPr>
          <w:rFonts w:ascii="Arial" w:hAnsi="Arial" w:cs="Arial"/>
          <w:sz w:val="20"/>
          <w:szCs w:val="20"/>
        </w:rPr>
      </w:pPr>
      <w:r>
        <w:rPr>
          <w:rFonts w:cs="Arial" w:ascii="Arial" w:hAnsi="Arial"/>
          <w:sz w:val="20"/>
          <w:szCs w:val="20"/>
        </w:rPr>
      </w:r>
    </w:p>
    <w:p>
      <w:pPr>
        <w:pStyle w:val="Normal"/>
        <w:autoSpaceDE w:val="false"/>
        <w:ind w:start="360" w:end="0"/>
        <w:rPr>
          <w:rFonts w:ascii="Arial" w:hAnsi="Arial" w:cs="Arial"/>
          <w:sz w:val="20"/>
          <w:szCs w:val="20"/>
        </w:rPr>
      </w:pPr>
      <w:r>
        <w:rPr>
          <w:rFonts w:cs="Arial" w:ascii="Arial" w:hAnsi="Arial"/>
          <w:sz w:val="20"/>
          <w:szCs w:val="20"/>
        </w:rPr>
        <w:t xml:space="preserve">One might think that the postponement of a LNG shipment has more impact on the price of NG in the region. However, the fundamentals of the NG inventories are very different this year. The storage levels of NG provide a lot of comfort to the end users. The East is currently 88% full, the rate of injection does not look like it is going to hinder the filling of the East and the overall gas storage is on track for 3.2 tcf. If a LNG cargo does not arrive to satisfy the peaking demand of the region, other fuels will have to replace the NG. If the inventories of HO are not readily available, the prices could run.  HO stocks are still below the 130-mmbbls-comfort level, the contango encourages buying and there is also good buying in Europe, keeping prices strong there. Therefore you may see HO stay strong or get even stronger.  By contrast, gas should only get weaker as storage continues to fill. </w:t>
      </w:r>
    </w:p>
    <w:p>
      <w:pPr>
        <w:pStyle w:val="Normal"/>
        <w:autoSpaceDE w:val="false"/>
        <w:ind w:start="360" w:end="0"/>
        <w:rPr>
          <w:rFonts w:ascii="Arial" w:hAnsi="Arial" w:cs="Arial"/>
          <w:sz w:val="20"/>
          <w:szCs w:val="20"/>
        </w:rPr>
      </w:pPr>
      <w:r>
        <w:rPr>
          <w:rFonts w:cs="Arial" w:ascii="Arial" w:hAnsi="Arial"/>
          <w:sz w:val="20"/>
          <w:szCs w:val="20"/>
        </w:rPr>
      </w:r>
    </w:p>
    <w:p>
      <w:pPr>
        <w:pStyle w:val="Normal"/>
        <w:autoSpaceDE w:val="false"/>
        <w:ind w:start="360" w:end="0"/>
        <w:rPr>
          <w:rFonts w:ascii="Arial" w:hAnsi="Arial" w:cs="Arial"/>
          <w:sz w:val="20"/>
          <w:szCs w:val="20"/>
        </w:rPr>
      </w:pPr>
      <w:r>
        <w:rPr>
          <w:rFonts w:cs="Arial" w:ascii="Arial" w:hAnsi="Arial"/>
          <w:sz w:val="20"/>
          <w:szCs w:val="20"/>
        </w:rPr>
        <w:t xml:space="preserve">Presently, Transco Z6 basis for Q1 2002 is $1.50. Physical Index premiums for the same term are approx $0.10 so basis adjusted fixed price of Q1 NG in that region is $4.32. HO in NYH on a gas equivalent basis is $4.87. </w:t>
      </w:r>
    </w:p>
    <w:p>
      <w:pPr>
        <w:pStyle w:val="Normal"/>
        <w:autoSpaceDE w:val="false"/>
        <w:ind w:start="360" w:end="0"/>
        <w:rPr/>
      </w:pPr>
      <w:r>
        <w:rPr>
          <w:rFonts w:cs="Arial" w:ascii="Arial" w:hAnsi="Arial"/>
          <w:sz w:val="20"/>
          <w:szCs w:val="20"/>
        </w:rPr>
        <w:t>Historically this spread has traded in a range of  $0.60 cents (NG over HO) to -$1.20 (NG under HO). We had of course an outlier year in 2000 where the spread came close to $8.00 (NG over HO). Until September 7</w:t>
      </w:r>
      <w:r>
        <w:rPr>
          <w:rFonts w:cs="Arial" w:ascii="Arial" w:hAnsi="Arial"/>
          <w:sz w:val="20"/>
          <w:szCs w:val="20"/>
          <w:vertAlign w:val="superscript"/>
        </w:rPr>
        <w:t>th</w:t>
      </w:r>
      <w:r>
        <w:rPr>
          <w:rFonts w:cs="Arial" w:ascii="Arial" w:hAnsi="Arial"/>
          <w:sz w:val="20"/>
          <w:szCs w:val="20"/>
        </w:rPr>
        <w:t>- fundamentals were prevailing as seen in chart 1- NG was weakening and HO was sustaining it levels. Since the 11</w:t>
      </w:r>
      <w:r>
        <w:rPr>
          <w:rFonts w:cs="Arial" w:ascii="Arial" w:hAnsi="Arial"/>
          <w:sz w:val="20"/>
          <w:szCs w:val="20"/>
          <w:vertAlign w:val="superscript"/>
        </w:rPr>
        <w:t>th</w:t>
      </w:r>
      <w:r>
        <w:rPr>
          <w:rFonts w:cs="Arial" w:ascii="Arial" w:hAnsi="Arial"/>
          <w:sz w:val="20"/>
          <w:szCs w:val="20"/>
        </w:rPr>
        <w:t>,  HO has been  trading significantly under NG. This is due to the illogical dive in oil /product prices which took place earlier this month. We expect the earlier trend to continue when the market returns to the proper fundamentals.</w:t>
      </w:r>
    </w:p>
    <w:p>
      <w:pPr>
        <w:pStyle w:val="Normal"/>
        <w:autoSpaceDE w:val="false"/>
        <w:ind w:start="360" w:end="0"/>
        <w:rPr>
          <w:rFonts w:ascii="Arial" w:hAnsi="Arial" w:cs="Arial"/>
          <w:sz w:val="20"/>
          <w:szCs w:val="20"/>
        </w:rPr>
      </w:pPr>
      <w:r>
        <w:rPr>
          <w:rFonts w:cs="Arial" w:ascii="Arial" w:hAnsi="Arial"/>
          <w:sz w:val="20"/>
          <w:szCs w:val="20"/>
        </w:rPr>
      </w:r>
    </w:p>
    <w:p>
      <w:pPr>
        <w:pStyle w:val="Normal"/>
        <w:autoSpaceDE w:val="false"/>
        <w:ind w:start="360" w:end="0"/>
        <w:rPr>
          <w:rFonts w:ascii="Arial" w:hAnsi="Arial" w:cs="Arial"/>
          <w:sz w:val="20"/>
          <w:szCs w:val="20"/>
        </w:rPr>
      </w:pPr>
      <w:r>
        <w:rPr>
          <w:rFonts w:cs="Arial" w:ascii="Arial" w:hAnsi="Arial"/>
          <w:sz w:val="20"/>
          <w:szCs w:val="20"/>
        </w:rPr>
        <w:br/>
        <w:t>Natural Gas markets have been and will continue to be under pressure for the remainder of the year. Currently the risk premium is concentrated in the January and February Z6 basis. Does this year's storage situation warrant $1.95 physical basis in Z6? Does the weather risk premium deserve to be $1 higher than December's basis? Looking at the charts attached, you can see a clear pattern over the last couple of years of high gas storage in the east and falling spreads between TZ6 and HO NYH.</w:t>
      </w:r>
    </w:p>
    <w:p>
      <w:pPr>
        <w:pStyle w:val="Normal"/>
        <w:autoSpaceDE w:val="false"/>
        <w:ind w:start="360" w:end="0"/>
        <w:rPr>
          <w:rFonts w:ascii="Arial" w:hAnsi="Arial" w:cs="Arial"/>
          <w:sz w:val="20"/>
          <w:szCs w:val="20"/>
        </w:rPr>
      </w:pPr>
      <w:r>
        <w:rPr>
          <w:rFonts w:cs="Arial" w:ascii="Arial" w:hAnsi="Arial"/>
          <w:sz w:val="20"/>
          <w:szCs w:val="20"/>
        </w:rPr>
      </w:r>
    </w:p>
    <w:p>
      <w:pPr>
        <w:pStyle w:val="Normal"/>
        <w:autoSpaceDE w:val="false"/>
        <w:ind w:start="360" w:end="0"/>
        <w:rPr>
          <w:rFonts w:ascii="Arial" w:hAnsi="Arial" w:cs="Arial"/>
          <w:sz w:val="20"/>
          <w:szCs w:val="20"/>
        </w:rPr>
      </w:pPr>
      <w:r>
        <w:rPr>
          <w:rFonts w:cs="Arial" w:ascii="Arial" w:hAnsi="Arial"/>
          <w:sz w:val="20"/>
          <w:szCs w:val="20"/>
        </w:rPr>
        <w:t>HO - usually a spike in HO occurs with late-winter cold snaps. With inventory levels below the "comfort level" of 130 mmbls the products have the potential to rally on any cold spell. With distillate currently being stronger in Europe than in the U.S. should keep the heating oil up despite decreased demand for jet fuel.</w:t>
      </w:r>
    </w:p>
    <w:p>
      <w:pPr>
        <w:pStyle w:val="Normal"/>
        <w:autoSpaceDE w:val="false"/>
        <w:ind w:start="360" w:end="0"/>
        <w:rPr>
          <w:rFonts w:ascii="Arial" w:hAnsi="Arial" w:cs="Arial"/>
          <w:sz w:val="20"/>
          <w:szCs w:val="20"/>
        </w:rPr>
      </w:pPr>
      <w:r>
        <w:rPr>
          <w:rFonts w:cs="Arial" w:ascii="Arial" w:hAnsi="Arial"/>
          <w:sz w:val="20"/>
          <w:szCs w:val="20"/>
        </w:rPr>
      </w:r>
    </w:p>
    <w:p>
      <w:pPr>
        <w:pStyle w:val="Normal"/>
        <w:autoSpaceDE w:val="false"/>
        <w:ind w:start="360" w:end="0"/>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pPr>
      <w:r>
        <w:rPr/>
      </w:r>
      <w:r>
        <w:br w:type="page"/>
      </w:r>
    </w:p>
    <w:p>
      <w:pPr>
        <w:pStyle w:val="Normal"/>
        <w:rPr/>
      </w:pPr>
      <w:r>
        <w:rPr/>
        <w:drawing>
          <wp:anchor behindDoc="0" distT="0" distB="0" distL="114935" distR="114935" simplePos="0" locked="0" layoutInCell="0" allowOverlap="1" relativeHeight="2">
            <wp:simplePos x="0" y="0"/>
            <wp:positionH relativeFrom="column">
              <wp:posOffset>0</wp:posOffset>
            </wp:positionH>
            <wp:positionV relativeFrom="paragraph">
              <wp:posOffset>175260</wp:posOffset>
            </wp:positionV>
            <wp:extent cx="5372100" cy="336804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6" r="-4" b="-6"/>
                    <a:stretch>
                      <a:fillRect/>
                    </a:stretch>
                  </pic:blipFill>
                  <pic:spPr bwMode="auto">
                    <a:xfrm>
                      <a:off x="0" y="0"/>
                      <a:ext cx="5372100" cy="3368040"/>
                    </a:xfrm>
                    <a:prstGeom prst="rect">
                      <a:avLst/>
                    </a:prstGeom>
                    <a:noFill/>
                  </pic:spPr>
                </pic:pic>
              </a:graphicData>
            </a:graphic>
          </wp:anchor>
        </w:drawing>
      </w:r>
    </w:p>
    <w:p>
      <w:pPr>
        <w:pStyle w:val="Normal"/>
        <w:rPr/>
      </w:pPr>
      <w:r>
        <w:rPr/>
      </w:r>
    </w:p>
    <w:p>
      <w:pPr>
        <w:pStyle w:val="Normal"/>
        <w:rPr/>
      </w:pPr>
      <w:r>
        <w:rPr/>
        <w:drawing>
          <wp:anchor behindDoc="0" distT="0" distB="0" distL="114935" distR="114935" simplePos="0" locked="0" layoutInCell="0" allowOverlap="1" relativeHeight="3">
            <wp:simplePos x="0" y="0"/>
            <wp:positionH relativeFrom="column">
              <wp:posOffset>0</wp:posOffset>
            </wp:positionH>
            <wp:positionV relativeFrom="paragraph">
              <wp:posOffset>175260</wp:posOffset>
            </wp:positionV>
            <wp:extent cx="5029200" cy="3535680"/>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4" t="-6" r="-4" b="-6"/>
                    <a:stretch>
                      <a:fillRect/>
                    </a:stretch>
                  </pic:blipFill>
                  <pic:spPr bwMode="auto">
                    <a:xfrm>
                      <a:off x="0" y="0"/>
                      <a:ext cx="5029200" cy="3535680"/>
                    </a:xfrm>
                    <a:prstGeom prst="rect">
                      <a:avLst/>
                    </a:prstGeom>
                    <a:noFill/>
                  </pic:spPr>
                </pic:pic>
              </a:graphicData>
            </a:graphic>
          </wp:anchor>
        </w:drawing>
      </w:r>
    </w:p>
    <w:p>
      <w:pPr>
        <w:pStyle w:val="Normal"/>
        <w:rPr/>
      </w:pPr>
      <w:r>
        <w:rPr/>
      </w:r>
    </w:p>
    <w:p>
      <w:pPr>
        <w:pStyle w:val="Normal"/>
        <w:rPr/>
      </w:pPr>
      <w:r>
        <w:rPr/>
      </w:r>
    </w:p>
    <w:p>
      <w:pPr>
        <w:pStyle w:val="Normal"/>
        <w:rPr/>
      </w:pPr>
      <w:r>
        <w:rPr/>
      </w:r>
      <w:r>
        <w:br w:type="page"/>
      </w:r>
    </w:p>
    <w:p>
      <w:pPr>
        <w:pStyle w:val="Normal"/>
        <w:rPr/>
      </w:pPr>
      <w:r>
        <w:rPr/>
      </w:r>
    </w:p>
    <w:p>
      <w:pPr>
        <w:pStyle w:val="Normal"/>
        <w:rPr/>
      </w:pPr>
      <w:r>
        <w:rPr/>
        <w:drawing>
          <wp:anchor behindDoc="0" distT="0" distB="0" distL="114935" distR="114935" simplePos="0" locked="0" layoutInCell="0" allowOverlap="1" relativeHeight="4">
            <wp:simplePos x="0" y="0"/>
            <wp:positionH relativeFrom="column">
              <wp:posOffset>0</wp:posOffset>
            </wp:positionH>
            <wp:positionV relativeFrom="paragraph">
              <wp:posOffset>53340</wp:posOffset>
            </wp:positionV>
            <wp:extent cx="5257800" cy="3429000"/>
            <wp:effectExtent l="0" t="0" r="0" b="0"/>
            <wp:wrapTopAndBottom/>
            <wp:docPr id="3"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 descr="" title=""/>
                    <pic:cNvPicPr>
                      <a:picLocks noChangeAspect="1" noChangeArrowheads="1"/>
                    </pic:cNvPicPr>
                  </pic:nvPicPr>
                  <pic:blipFill>
                    <a:blip r:embed="rId4"/>
                    <a:srcRect l="-4" t="-6" r="-4" b="-6"/>
                    <a:stretch>
                      <a:fillRect/>
                    </a:stretch>
                  </pic:blipFill>
                  <pic:spPr bwMode="auto">
                    <a:xfrm>
                      <a:off x="0" y="0"/>
                      <a:ext cx="5257800" cy="3429000"/>
                    </a:xfrm>
                    <a:prstGeom prst="rect">
                      <a:avLst/>
                    </a:prstGeom>
                    <a:noFill/>
                  </pic:spPr>
                </pic:pic>
              </a:graphicData>
            </a:graphic>
          </wp:anchor>
        </w:drawing>
        <w:drawing>
          <wp:anchor behindDoc="0" distT="0" distB="0" distL="114935" distR="114935" simplePos="0" locked="0" layoutInCell="0" allowOverlap="1" relativeHeight="5">
            <wp:simplePos x="0" y="0"/>
            <wp:positionH relativeFrom="column">
              <wp:posOffset>0</wp:posOffset>
            </wp:positionH>
            <wp:positionV relativeFrom="paragraph">
              <wp:posOffset>3886200</wp:posOffset>
            </wp:positionV>
            <wp:extent cx="5257800" cy="3368040"/>
            <wp:effectExtent l="0" t="0" r="0" b="0"/>
            <wp:wrapTopAndBottom/>
            <wp:docPr id="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title=""/>
                    <pic:cNvPicPr>
                      <a:picLocks noChangeAspect="1" noChangeArrowheads="1"/>
                    </pic:cNvPicPr>
                  </pic:nvPicPr>
                  <pic:blipFill>
                    <a:blip r:embed="rId5"/>
                    <a:srcRect l="-4" t="-6" r="-4" b="-6"/>
                    <a:stretch>
                      <a:fillRect/>
                    </a:stretch>
                  </pic:blipFill>
                  <pic:spPr bwMode="auto">
                    <a:xfrm>
                      <a:off x="0" y="0"/>
                      <a:ext cx="5257800" cy="3368040"/>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drawing>
          <wp:anchor behindDoc="0" distT="0" distB="0" distL="114935" distR="114935" simplePos="0" locked="0" layoutInCell="0" allowOverlap="1" relativeHeight="6">
            <wp:simplePos x="0" y="0"/>
            <wp:positionH relativeFrom="column">
              <wp:posOffset>0</wp:posOffset>
            </wp:positionH>
            <wp:positionV relativeFrom="paragraph">
              <wp:posOffset>251460</wp:posOffset>
            </wp:positionV>
            <wp:extent cx="5257800" cy="3291840"/>
            <wp:effectExtent l="0" t="0" r="0" b="0"/>
            <wp:wrapTopAndBottom/>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6"/>
                    <a:srcRect l="-4" t="-6" r="-4" b="-6"/>
                    <a:stretch>
                      <a:fillRect/>
                    </a:stretch>
                  </pic:blipFill>
                  <pic:spPr bwMode="auto">
                    <a:xfrm>
                      <a:off x="0" y="0"/>
                      <a:ext cx="5257800" cy="3291840"/>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autoSpaceDE w:val="false"/>
      <w:ind w:hanging="0" w:start="360" w:end="0"/>
    </w:pPr>
    <w:rPr>
      <w:rFonts w:ascii="Arial" w:hAnsi="Arial" w:cs="Arial"/>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image" Target="media/image5.wmf"/><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2001-10-02T13:30:00Z</dcterms:created>
  <dc:creator>rlassand</dc:creator>
  <dc:description/>
  <dc:language>en-CA</dc:language>
  <cp:lastModifiedBy>rzivic</cp:lastModifiedBy>
  <cp:lastPrinted>2001-10-01T17:52:00Z</cp:lastPrinted>
  <dcterms:modified xsi:type="dcterms:W3CDTF">2001-10-02T13:30:00Z</dcterms:modified>
  <cp:revision>2</cp:revision>
  <dc:subject/>
  <dc:title>Inventory levels in two fuels advocate a decent risk/reward spread trade</dc:title>
</cp:coreProperties>
</file>