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1"/>
        <w:numPr>
          <w:ilvl w:val="0"/>
          <w:numId w:val="0"/>
        </w:numPr>
        <w:spacing w:before="120" w:after="120"/>
        <w:ind w:start="0" w:hanging="0" w:end="0"/>
        <w:jc w:val="center"/>
        <w:outlineLvl w:val="0"/>
        <w:rPr>
          <w:b/>
        </w:rPr>
      </w:pPr>
      <w:r>
        <w:rPr>
          <w:b/>
        </w:rPr>
        <w:t>TEXAS RESTRUCTURING SUMMARY</w:t>
      </w:r>
    </w:p>
    <w:p>
      <w:pPr>
        <w:pStyle w:val="Style11"/>
        <w:numPr>
          <w:ilvl w:val="0"/>
          <w:numId w:val="0"/>
        </w:numPr>
        <w:ind w:start="0" w:hanging="0" w:end="0"/>
        <w:jc w:val="center"/>
        <w:outlineLvl w:val="0"/>
        <w:rPr>
          <w:b/>
        </w:rPr>
      </w:pPr>
      <w:r>
        <w:rPr>
          <w:b/>
        </w:rPr>
        <w:t>August 23, 2001</w:t>
      </w:r>
    </w:p>
    <w:p>
      <w:pPr>
        <w:pStyle w:val="Style11"/>
        <w:ind w:hanging="0" w:end="0"/>
        <w:rPr>
          <w:b/>
        </w:rPr>
      </w:pPr>
      <w:r>
        <w:rPr>
          <w:b/>
        </w:rPr>
      </w:r>
    </w:p>
    <w:p>
      <w:pPr>
        <w:pStyle w:val="Style11"/>
        <w:ind w:hanging="0" w:end="0"/>
        <w:rPr/>
      </w:pPr>
      <w:r>
        <w:rPr/>
        <w:t>Electric restructuring in Texas was initiated by the passage of Senate Bill 7 (SB7) in 1999.  SB7 required the Texas Public Utility Commission (TPUC or Commission) to implement open-access beginning January 1, 2002.  The TPUC initiated both Rulemakings and Proceedings beginning in the summer of 1999 necessary to meet the requirements of SB7.</w:t>
      </w:r>
    </w:p>
    <w:p>
      <w:pPr>
        <w:pStyle w:val="Style11"/>
        <w:ind w:hanging="0" w:end="0"/>
        <w:rPr/>
      </w:pPr>
      <w:r>
        <w:rPr/>
        <w:t xml:space="preserve">The development of rules and infrastructure for a competitive retail market in Texas has occurred in several tracks: </w:t>
      </w:r>
    </w:p>
    <w:p>
      <w:pPr>
        <w:pStyle w:val="Style11"/>
        <w:numPr>
          <w:ilvl w:val="0"/>
          <w:numId w:val="3"/>
        </w:numPr>
        <w:tabs>
          <w:tab w:val="clear" w:pos="720"/>
          <w:tab w:val="left" w:pos="936" w:leader="none"/>
        </w:tabs>
        <w:ind w:hanging="360" w:start="936" w:end="0"/>
        <w:rPr/>
      </w:pPr>
      <w:r>
        <w:rPr/>
        <w:t xml:space="preserve">The Commission’s development of rules to implement SB7, using rulemaking procedures prescribed by the Administrative Procedures Act, and additional means to enhance public participation; </w:t>
      </w:r>
    </w:p>
    <w:p>
      <w:pPr>
        <w:pStyle w:val="Style11"/>
        <w:numPr>
          <w:ilvl w:val="0"/>
          <w:numId w:val="3"/>
        </w:numPr>
        <w:tabs>
          <w:tab w:val="clear" w:pos="720"/>
          <w:tab w:val="left" w:pos="936" w:leader="none"/>
        </w:tabs>
        <w:ind w:hanging="360" w:start="936" w:end="0"/>
        <w:rPr/>
      </w:pPr>
      <w:r>
        <w:rPr/>
        <w:t>The approval of rates for electric delivery service and approval of unbundling plans for the electric utilities, through contested cases at the Commission;</w:t>
      </w:r>
    </w:p>
    <w:p>
      <w:pPr>
        <w:pStyle w:val="Style11"/>
        <w:numPr>
          <w:ilvl w:val="0"/>
          <w:numId w:val="3"/>
        </w:numPr>
        <w:tabs>
          <w:tab w:val="clear" w:pos="720"/>
          <w:tab w:val="left" w:pos="936" w:leader="none"/>
        </w:tabs>
        <w:ind w:hanging="360" w:start="936" w:end="0"/>
        <w:rPr/>
      </w:pPr>
      <w:r>
        <w:rPr/>
        <w:t xml:space="preserve">The development of market rules by the ERCOT ISO through consensus-based procedures involving stakeholders from all sectors of the industry; </w:t>
      </w:r>
    </w:p>
    <w:p>
      <w:pPr>
        <w:pStyle w:val="Style11"/>
        <w:numPr>
          <w:ilvl w:val="0"/>
          <w:numId w:val="3"/>
        </w:numPr>
        <w:tabs>
          <w:tab w:val="clear" w:pos="720"/>
          <w:tab w:val="left" w:pos="936" w:leader="none"/>
        </w:tabs>
        <w:ind w:hanging="360" w:start="936" w:end="0"/>
        <w:rPr/>
      </w:pPr>
      <w:r>
        <w:rPr/>
        <w:t>The ISO’s contracting for computer and communications systems to operate the ERCOT electrical network and carry out the other functions of an independent organization under SB7; and</w:t>
      </w:r>
    </w:p>
    <w:p>
      <w:pPr>
        <w:pStyle w:val="Style11"/>
        <w:numPr>
          <w:ilvl w:val="0"/>
          <w:numId w:val="3"/>
        </w:numPr>
        <w:tabs>
          <w:tab w:val="clear" w:pos="720"/>
          <w:tab w:val="left" w:pos="936" w:leader="none"/>
        </w:tabs>
        <w:ind w:hanging="360" w:start="936" w:end="0"/>
        <w:rPr/>
      </w:pPr>
      <w:r>
        <w:rPr/>
        <w:t>The development of regional organizations and market rules in non-ERCOT areas of Texas.</w:t>
      </w:r>
    </w:p>
    <w:p>
      <w:pPr>
        <w:pStyle w:val="Style11"/>
        <w:numPr>
          <w:ilvl w:val="0"/>
          <w:numId w:val="0"/>
        </w:numPr>
        <w:ind w:start="0" w:hanging="0" w:end="0"/>
        <w:outlineLvl w:val="0"/>
        <w:rPr>
          <w:u w:val="single"/>
        </w:rPr>
      </w:pPr>
      <w:r>
        <w:rPr>
          <w:u w:val="single"/>
        </w:rPr>
        <w:t>RULEMAKINGS:</w:t>
      </w:r>
    </w:p>
    <w:p>
      <w:pPr>
        <w:pStyle w:val="Style11"/>
        <w:ind w:hanging="0" w:end="0"/>
        <w:rPr/>
      </w:pPr>
      <w:r>
        <w:rPr/>
        <w:t xml:space="preserve">The following is the status of TPUC Rulemakings as of </w:t>
      </w:r>
      <w:r>
        <w:rPr>
          <w:b/>
        </w:rPr>
        <w:t>August</w:t>
      </w:r>
      <w:r>
        <w:rPr/>
        <w:t xml:space="preserve"> 2001:</w:t>
      </w:r>
    </w:p>
    <w:p>
      <w:pPr>
        <w:pStyle w:val="Style11"/>
        <w:ind w:hanging="0" w:start="576" w:end="0"/>
        <w:rPr/>
      </w:pPr>
      <w:r>
        <w:rPr/>
      </w:r>
    </w:p>
    <w:tbl>
      <w:tblPr>
        <w:tblW w:w="9770" w:type="dxa"/>
        <w:jc w:val="start"/>
        <w:tblInd w:w="0" w:type="dxa"/>
        <w:tblLayout w:type="fixed"/>
        <w:tblCellMar>
          <w:top w:w="0" w:type="dxa"/>
          <w:start w:w="30" w:type="dxa"/>
          <w:bottom w:w="0" w:type="dxa"/>
          <w:end w:w="30" w:type="dxa"/>
        </w:tblCellMar>
      </w:tblPr>
      <w:tblGrid>
        <w:gridCol w:w="1339"/>
        <w:gridCol w:w="917"/>
        <w:gridCol w:w="917"/>
        <w:gridCol w:w="917"/>
        <w:gridCol w:w="917"/>
        <w:gridCol w:w="917"/>
        <w:gridCol w:w="917"/>
        <w:gridCol w:w="1006"/>
        <w:gridCol w:w="917"/>
        <w:gridCol w:w="1006"/>
      </w:tblGrid>
      <w:tr>
        <w:trPr>
          <w:trHeight w:val="247" w:hRule="atLeast"/>
        </w:trPr>
        <w:tc>
          <w:tcPr>
            <w:tcW w:w="1339" w:type="dxa"/>
            <w:tcBorders>
              <w:top w:val="single" w:sz="12" w:space="0" w:color="000000"/>
              <w:start w:val="single" w:sz="12" w:space="0" w:color="000000"/>
              <w:end w:val="single" w:sz="6" w:space="0" w:color="000000"/>
            </w:tcBorders>
            <w:shd w:fill="FFFF00" w:val="clear"/>
          </w:tcPr>
          <w:p>
            <w:pPr>
              <w:pStyle w:val="Heading6"/>
              <w:ind w:hanging="0" w:start="0"/>
              <w:rPr/>
            </w:pPr>
            <w:r>
              <w:rPr/>
              <w:t>Rules</w:t>
            </w:r>
          </w:p>
        </w:tc>
        <w:tc>
          <w:tcPr>
            <w:tcW w:w="917" w:type="dxa"/>
            <w:tcBorders>
              <w:top w:val="single" w:sz="12" w:space="0" w:color="000000"/>
              <w:start w:val="single" w:sz="6" w:space="0" w:color="000000"/>
              <w:end w:val="single" w:sz="6" w:space="0" w:color="000000"/>
            </w:tcBorders>
            <w:shd w:fill="FFFF00" w:val="clear"/>
          </w:tcPr>
          <w:p>
            <w:pPr>
              <w:pStyle w:val="Normal"/>
              <w:jc w:val="center"/>
              <w:rPr>
                <w:rFonts w:ascii="Arial" w:hAnsi="Arial" w:cs="Arial"/>
                <w:b/>
                <w:color w:val="000000"/>
                <w:sz w:val="20"/>
              </w:rPr>
            </w:pPr>
            <w:r>
              <w:rPr>
                <w:rFonts w:cs="Arial" w:ascii="Arial" w:hAnsi="Arial"/>
                <w:b/>
                <w:color w:val="000000"/>
                <w:sz w:val="20"/>
              </w:rPr>
              <w:t>3Q 1999</w:t>
            </w:r>
          </w:p>
        </w:tc>
        <w:tc>
          <w:tcPr>
            <w:tcW w:w="917" w:type="dxa"/>
            <w:tcBorders>
              <w:top w:val="single" w:sz="12" w:space="0" w:color="000000"/>
              <w:start w:val="single" w:sz="6" w:space="0" w:color="000000"/>
              <w:end w:val="single" w:sz="6" w:space="0" w:color="000000"/>
            </w:tcBorders>
            <w:shd w:fill="FFFF00" w:val="clear"/>
          </w:tcPr>
          <w:p>
            <w:pPr>
              <w:pStyle w:val="Normal"/>
              <w:jc w:val="center"/>
              <w:rPr>
                <w:rFonts w:ascii="Arial" w:hAnsi="Arial" w:cs="Arial"/>
                <w:b/>
                <w:color w:val="000000"/>
                <w:sz w:val="20"/>
              </w:rPr>
            </w:pPr>
            <w:r>
              <w:rPr>
                <w:rFonts w:cs="Arial" w:ascii="Arial" w:hAnsi="Arial"/>
                <w:b/>
                <w:color w:val="000000"/>
                <w:sz w:val="20"/>
              </w:rPr>
              <w:t>4Q 1999</w:t>
            </w:r>
          </w:p>
        </w:tc>
        <w:tc>
          <w:tcPr>
            <w:tcW w:w="917" w:type="dxa"/>
            <w:tcBorders>
              <w:top w:val="single" w:sz="12" w:space="0" w:color="000000"/>
              <w:start w:val="single" w:sz="6" w:space="0" w:color="000000"/>
              <w:end w:val="single" w:sz="6" w:space="0" w:color="000000"/>
            </w:tcBorders>
            <w:shd w:fill="FFFF00" w:val="clear"/>
          </w:tcPr>
          <w:p>
            <w:pPr>
              <w:pStyle w:val="Normal"/>
              <w:jc w:val="center"/>
              <w:rPr>
                <w:rFonts w:ascii="Arial" w:hAnsi="Arial" w:cs="Arial"/>
                <w:b/>
                <w:color w:val="000000"/>
                <w:sz w:val="20"/>
              </w:rPr>
            </w:pPr>
            <w:r>
              <w:rPr>
                <w:rFonts w:cs="Arial" w:ascii="Arial" w:hAnsi="Arial"/>
                <w:b/>
                <w:color w:val="000000"/>
                <w:sz w:val="20"/>
              </w:rPr>
              <w:t>1Q 2000</w:t>
            </w:r>
          </w:p>
        </w:tc>
        <w:tc>
          <w:tcPr>
            <w:tcW w:w="917" w:type="dxa"/>
            <w:tcBorders>
              <w:top w:val="single" w:sz="12" w:space="0" w:color="000000"/>
              <w:start w:val="single" w:sz="6" w:space="0" w:color="000000"/>
              <w:end w:val="single" w:sz="6" w:space="0" w:color="000000"/>
            </w:tcBorders>
            <w:shd w:fill="FFFF00" w:val="clear"/>
          </w:tcPr>
          <w:p>
            <w:pPr>
              <w:pStyle w:val="Normal"/>
              <w:jc w:val="center"/>
              <w:rPr>
                <w:rFonts w:ascii="Arial" w:hAnsi="Arial" w:cs="Arial"/>
                <w:b/>
                <w:color w:val="000000"/>
                <w:sz w:val="20"/>
              </w:rPr>
            </w:pPr>
            <w:r>
              <w:rPr>
                <w:rFonts w:cs="Arial" w:ascii="Arial" w:hAnsi="Arial"/>
                <w:b/>
                <w:color w:val="000000"/>
                <w:sz w:val="20"/>
              </w:rPr>
              <w:t>2Q 2000</w:t>
            </w:r>
          </w:p>
        </w:tc>
        <w:tc>
          <w:tcPr>
            <w:tcW w:w="917" w:type="dxa"/>
            <w:tcBorders>
              <w:top w:val="single" w:sz="12" w:space="0" w:color="000000"/>
              <w:start w:val="single" w:sz="6" w:space="0" w:color="000000"/>
              <w:end w:val="single" w:sz="6" w:space="0" w:color="000000"/>
            </w:tcBorders>
            <w:shd w:fill="FFFF00" w:val="clear"/>
          </w:tcPr>
          <w:p>
            <w:pPr>
              <w:pStyle w:val="Normal"/>
              <w:jc w:val="center"/>
              <w:rPr>
                <w:rFonts w:ascii="Arial" w:hAnsi="Arial" w:cs="Arial"/>
                <w:b/>
                <w:color w:val="000000"/>
                <w:sz w:val="20"/>
              </w:rPr>
            </w:pPr>
            <w:r>
              <w:rPr>
                <w:rFonts w:cs="Arial" w:ascii="Arial" w:hAnsi="Arial"/>
                <w:b/>
                <w:color w:val="000000"/>
                <w:sz w:val="20"/>
              </w:rPr>
              <w:t>3Q 2000</w:t>
            </w:r>
          </w:p>
        </w:tc>
        <w:tc>
          <w:tcPr>
            <w:tcW w:w="917" w:type="dxa"/>
            <w:tcBorders>
              <w:top w:val="single" w:sz="12" w:space="0" w:color="000000"/>
              <w:start w:val="single" w:sz="6" w:space="0" w:color="000000"/>
              <w:end w:val="single" w:sz="6" w:space="0" w:color="000000"/>
            </w:tcBorders>
            <w:shd w:fill="FFFF00" w:val="clear"/>
          </w:tcPr>
          <w:p>
            <w:pPr>
              <w:pStyle w:val="Normal"/>
              <w:jc w:val="center"/>
              <w:rPr>
                <w:rFonts w:ascii="Arial" w:hAnsi="Arial" w:cs="Arial"/>
                <w:b/>
                <w:color w:val="000000"/>
                <w:sz w:val="20"/>
              </w:rPr>
            </w:pPr>
            <w:r>
              <w:rPr>
                <w:rFonts w:cs="Arial" w:ascii="Arial" w:hAnsi="Arial"/>
                <w:b/>
                <w:color w:val="000000"/>
                <w:sz w:val="20"/>
              </w:rPr>
              <w:t>4Q 2000</w:t>
            </w:r>
          </w:p>
        </w:tc>
        <w:tc>
          <w:tcPr>
            <w:tcW w:w="1006" w:type="dxa"/>
            <w:tcBorders>
              <w:top w:val="single" w:sz="12" w:space="0" w:color="000000"/>
              <w:start w:val="single" w:sz="6" w:space="0" w:color="000000"/>
              <w:end w:val="single" w:sz="6" w:space="0" w:color="000000"/>
            </w:tcBorders>
            <w:shd w:fill="FFFF00" w:val="clear"/>
          </w:tcPr>
          <w:p>
            <w:pPr>
              <w:pStyle w:val="Normal"/>
              <w:jc w:val="center"/>
              <w:rPr>
                <w:rFonts w:ascii="Arial" w:hAnsi="Arial" w:cs="Arial"/>
                <w:b/>
                <w:color w:val="000000"/>
                <w:sz w:val="20"/>
              </w:rPr>
            </w:pPr>
            <w:r>
              <w:rPr>
                <w:rFonts w:cs="Arial" w:ascii="Arial" w:hAnsi="Arial"/>
                <w:b/>
                <w:color w:val="000000"/>
                <w:sz w:val="20"/>
              </w:rPr>
              <w:t>1Q 2001</w:t>
            </w:r>
          </w:p>
        </w:tc>
        <w:tc>
          <w:tcPr>
            <w:tcW w:w="917" w:type="dxa"/>
            <w:tcBorders>
              <w:top w:val="single" w:sz="12" w:space="0" w:color="000000"/>
              <w:start w:val="single" w:sz="6" w:space="0" w:color="000000"/>
              <w:end w:val="single" w:sz="6" w:space="0" w:color="000000"/>
            </w:tcBorders>
            <w:shd w:fill="FFFF00" w:val="clear"/>
          </w:tcPr>
          <w:p>
            <w:pPr>
              <w:pStyle w:val="Heading5"/>
              <w:ind w:hanging="0" w:start="0"/>
              <w:jc w:val="center"/>
              <w:rPr/>
            </w:pPr>
            <w:r>
              <w:rPr/>
              <w:t>2Q 2001</w:t>
            </w:r>
          </w:p>
        </w:tc>
        <w:tc>
          <w:tcPr>
            <w:tcW w:w="1006" w:type="dxa"/>
            <w:tcBorders>
              <w:top w:val="single" w:sz="12" w:space="0" w:color="000000"/>
              <w:start w:val="single" w:sz="6" w:space="0" w:color="000000"/>
              <w:end w:val="single" w:sz="12" w:space="0" w:color="000000"/>
            </w:tcBorders>
            <w:shd w:fill="FFFF00" w:val="clear"/>
          </w:tcPr>
          <w:p>
            <w:pPr>
              <w:pStyle w:val="Heading5"/>
              <w:ind w:hanging="0" w:start="0"/>
              <w:jc w:val="center"/>
              <w:rPr/>
            </w:pPr>
            <w:r>
              <w:rPr/>
              <w:t>3Q 2001</w:t>
            </w:r>
          </w:p>
        </w:tc>
      </w:tr>
      <w:tr>
        <w:trPr>
          <w:trHeight w:val="30" w:hRule="exact"/>
        </w:trPr>
        <w:tc>
          <w:tcPr>
            <w:tcW w:w="1339" w:type="dxa"/>
            <w:tcBorders>
              <w:top w:val="single" w:sz="6" w:space="0" w:color="000000"/>
              <w:start w:val="single" w:sz="12" w:space="0" w:color="000000"/>
              <w:bottom w:val="single" w:sz="6" w:space="0" w:color="000000"/>
              <w:end w:val="single" w:sz="6" w:space="0" w:color="000000"/>
            </w:tcBorders>
            <w:shd w:fill="000000" w:val="clear"/>
          </w:tcPr>
          <w:p>
            <w:pPr>
              <w:pStyle w:val="Normal"/>
              <w:snapToGrid w:val="false"/>
              <w:rPr>
                <w:rFonts w:ascii="Arial" w:hAnsi="Arial" w:cs="Arial"/>
                <w:b/>
                <w:color w:val="000000"/>
                <w:sz w:val="20"/>
              </w:rPr>
            </w:pPr>
            <w:r>
              <w:rPr>
                <w:rFonts w:cs="Arial" w:ascii="Arial" w:hAnsi="Arial"/>
                <w:b/>
                <w:color w:val="000000"/>
                <w:sz w:val="20"/>
              </w:rPr>
            </w:r>
          </w:p>
        </w:tc>
        <w:tc>
          <w:tcPr>
            <w:tcW w:w="917" w:type="dxa"/>
            <w:tcBorders>
              <w:top w:val="single" w:sz="6" w:space="0" w:color="000000"/>
              <w:start w:val="single" w:sz="6" w:space="0" w:color="000000"/>
              <w:bottom w:val="single" w:sz="6" w:space="0" w:color="000000"/>
              <w:end w:val="single" w:sz="6" w:space="0" w:color="000000"/>
            </w:tcBorders>
            <w:shd w:fill="000000" w:val="clear"/>
          </w:tcPr>
          <w:p>
            <w:pPr>
              <w:pStyle w:val="Normal"/>
              <w:snapToGrid w:val="false"/>
              <w:jc w:val="end"/>
              <w:rPr>
                <w:rFonts w:ascii="Arial" w:hAnsi="Arial" w:cs="Arial"/>
                <w:b/>
                <w:color w:val="000000"/>
                <w:sz w:val="20"/>
              </w:rPr>
            </w:pPr>
            <w:r>
              <w:rPr>
                <w:rFonts w:cs="Arial" w:ascii="Arial" w:hAnsi="Arial"/>
                <w:b/>
                <w:color w:val="000000"/>
                <w:sz w:val="20"/>
              </w:rPr>
            </w:r>
          </w:p>
        </w:tc>
        <w:tc>
          <w:tcPr>
            <w:tcW w:w="917" w:type="dxa"/>
            <w:tcBorders>
              <w:top w:val="single" w:sz="6" w:space="0" w:color="000000"/>
              <w:start w:val="single" w:sz="6" w:space="0" w:color="000000"/>
              <w:bottom w:val="single" w:sz="6" w:space="0" w:color="000000"/>
              <w:end w:val="single" w:sz="6" w:space="0" w:color="000000"/>
            </w:tcBorders>
            <w:shd w:fill="000000" w:val="clear"/>
          </w:tcPr>
          <w:p>
            <w:pPr>
              <w:pStyle w:val="Normal"/>
              <w:snapToGrid w:val="false"/>
              <w:jc w:val="end"/>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shd w:fill="000000" w:val="clear"/>
          </w:tcPr>
          <w:p>
            <w:pPr>
              <w:pStyle w:val="Normal"/>
              <w:snapToGrid w:val="false"/>
              <w:jc w:val="end"/>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shd w:fill="000000" w:val="clear"/>
          </w:tcPr>
          <w:p>
            <w:pPr>
              <w:pStyle w:val="Normal"/>
              <w:snapToGrid w:val="false"/>
              <w:jc w:val="end"/>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shd w:fill="000000" w:val="clear"/>
          </w:tcPr>
          <w:p>
            <w:pPr>
              <w:pStyle w:val="Normal"/>
              <w:snapToGrid w:val="false"/>
              <w:jc w:val="end"/>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shd w:fill="000000" w:val="clear"/>
          </w:tcPr>
          <w:p>
            <w:pPr>
              <w:pStyle w:val="Normal"/>
              <w:snapToGrid w:val="false"/>
              <w:jc w:val="end"/>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6" w:space="0" w:color="000000"/>
            </w:tcBorders>
            <w:shd w:fill="000000" w:val="clear"/>
          </w:tcPr>
          <w:p>
            <w:pPr>
              <w:pStyle w:val="Normal"/>
              <w:snapToGrid w:val="false"/>
              <w:jc w:val="end"/>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shd w:fill="000000" w:val="clear"/>
          </w:tcPr>
          <w:p>
            <w:pPr>
              <w:pStyle w:val="Normal"/>
              <w:snapToGrid w:val="false"/>
              <w:jc w:val="end"/>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12" w:space="0" w:color="000000"/>
            </w:tcBorders>
            <w:shd w:fill="000000" w:val="clear"/>
          </w:tcPr>
          <w:p>
            <w:pPr>
              <w:pStyle w:val="Normal"/>
              <w:snapToGrid w:val="false"/>
              <w:jc w:val="end"/>
              <w:rPr>
                <w:rFonts w:ascii="Arial" w:hAnsi="Arial" w:cs="Arial"/>
                <w:color w:val="000000"/>
                <w:sz w:val="20"/>
              </w:rPr>
            </w:pPr>
            <w:r>
              <w:rPr>
                <w:rFonts w:cs="Arial" w:ascii="Arial" w:hAnsi="Arial"/>
                <w:color w:val="000000"/>
                <w:sz w:val="20"/>
              </w:rPr>
            </w:r>
          </w:p>
        </w:tc>
      </w:tr>
      <w:tr>
        <w:trPr>
          <w:trHeight w:val="360" w:hRule="exact"/>
        </w:trPr>
        <w:tc>
          <w:tcPr>
            <w:tcW w:w="1339" w:type="dxa"/>
            <w:tcBorders>
              <w:start w:val="single" w:sz="12" w:space="0" w:color="000000"/>
              <w:bottom w:val="single" w:sz="6" w:space="0" w:color="000000"/>
              <w:end w:val="single" w:sz="6" w:space="0" w:color="000000"/>
            </w:tcBorders>
          </w:tcPr>
          <w:p>
            <w:pPr>
              <w:pStyle w:val="Normal"/>
              <w:spacing w:before="40" w:after="40"/>
              <w:rPr>
                <w:rFonts w:ascii="Arial" w:hAnsi="Arial" w:cs="Arial"/>
                <w:color w:val="000000"/>
                <w:sz w:val="20"/>
              </w:rPr>
            </w:pPr>
            <w:r>
              <w:rPr>
                <w:rFonts w:cs="Arial" w:ascii="Arial" w:hAnsi="Arial"/>
                <w:color w:val="000000"/>
                <w:sz w:val="20"/>
              </w:rPr>
              <w:t>Affiliate code of conduct</w:t>
            </w:r>
          </w:p>
        </w:tc>
        <w:tc>
          <w:tcPr>
            <w:tcW w:w="917" w:type="dxa"/>
            <w:tcBorders>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Proposed</w:t>
            </w:r>
          </w:p>
        </w:tc>
        <w:tc>
          <w:tcPr>
            <w:tcW w:w="917" w:type="dxa"/>
            <w:tcBorders>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Adopted</w:t>
            </w:r>
          </w:p>
        </w:tc>
        <w:tc>
          <w:tcPr>
            <w:tcW w:w="917" w:type="dxa"/>
            <w:tcBorders>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start w:val="single" w:sz="6" w:space="0" w:color="000000"/>
              <w:bottom w:val="single" w:sz="6" w:space="0" w:color="000000"/>
              <w:end w:val="single" w:sz="12"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r>
      <w:tr>
        <w:trPr>
          <w:trHeight w:val="360" w:hRule="exact"/>
        </w:trPr>
        <w:tc>
          <w:tcPr>
            <w:tcW w:w="1339" w:type="dxa"/>
            <w:tcBorders>
              <w:top w:val="single" w:sz="6" w:space="0" w:color="000000"/>
              <w:start w:val="single" w:sz="12" w:space="0" w:color="000000"/>
              <w:bottom w:val="single" w:sz="6" w:space="0" w:color="000000"/>
              <w:end w:val="single" w:sz="6" w:space="0" w:color="000000"/>
            </w:tcBorders>
          </w:tcPr>
          <w:p>
            <w:pPr>
              <w:pStyle w:val="Normal"/>
              <w:spacing w:before="40" w:after="40"/>
              <w:rPr>
                <w:rFonts w:ascii="Arial" w:hAnsi="Arial" w:cs="Arial"/>
                <w:color w:val="000000"/>
                <w:sz w:val="20"/>
              </w:rPr>
            </w:pPr>
            <w:r>
              <w:rPr>
                <w:rFonts w:cs="Arial" w:ascii="Arial" w:hAnsi="Arial"/>
                <w:color w:val="000000"/>
                <w:sz w:val="20"/>
              </w:rPr>
              <w:t>Business and cost separation</w:t>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Proposed</w:t>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Adopted</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12"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r>
      <w:tr>
        <w:trPr>
          <w:trHeight w:val="360" w:hRule="exact"/>
        </w:trPr>
        <w:tc>
          <w:tcPr>
            <w:tcW w:w="1339" w:type="dxa"/>
            <w:tcBorders>
              <w:top w:val="single" w:sz="6" w:space="0" w:color="000000"/>
              <w:start w:val="single" w:sz="12" w:space="0" w:color="000000"/>
              <w:bottom w:val="single" w:sz="6" w:space="0" w:color="000000"/>
              <w:end w:val="single" w:sz="6" w:space="0" w:color="000000"/>
            </w:tcBorders>
          </w:tcPr>
          <w:p>
            <w:pPr>
              <w:pStyle w:val="Normal"/>
              <w:spacing w:before="40" w:after="40"/>
              <w:rPr>
                <w:rFonts w:ascii="Arial" w:hAnsi="Arial" w:cs="Arial"/>
                <w:color w:val="000000"/>
                <w:sz w:val="20"/>
              </w:rPr>
            </w:pPr>
            <w:r>
              <w:rPr>
                <w:rFonts w:cs="Arial" w:ascii="Arial" w:hAnsi="Arial"/>
                <w:color w:val="000000"/>
                <w:sz w:val="20"/>
              </w:rPr>
              <w:t>Electric reliability standards</w:t>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Proposed</w:t>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Adopted</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12"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r>
      <w:tr>
        <w:trPr>
          <w:trHeight w:val="410" w:hRule="atLeast"/>
        </w:trPr>
        <w:tc>
          <w:tcPr>
            <w:tcW w:w="1339" w:type="dxa"/>
            <w:tcBorders>
              <w:top w:val="single" w:sz="6" w:space="0" w:color="000000"/>
              <w:start w:val="single" w:sz="12" w:space="0" w:color="000000"/>
              <w:bottom w:val="single" w:sz="6" w:space="0" w:color="000000"/>
              <w:end w:val="single" w:sz="6" w:space="0" w:color="000000"/>
            </w:tcBorders>
          </w:tcPr>
          <w:p>
            <w:pPr>
              <w:pStyle w:val="Normal"/>
              <w:spacing w:before="120" w:after="80"/>
              <w:rPr>
                <w:rFonts w:ascii="Arial" w:hAnsi="Arial" w:cs="Arial"/>
                <w:color w:val="000000"/>
                <w:sz w:val="20"/>
              </w:rPr>
            </w:pPr>
            <w:r>
              <w:rPr>
                <w:rFonts w:cs="Arial" w:ascii="Arial" w:hAnsi="Arial"/>
                <w:color w:val="000000"/>
                <w:sz w:val="20"/>
              </w:rPr>
              <w:t>GLO access</w:t>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40" w:after="40"/>
              <w:jc w:val="center"/>
              <w:rPr>
                <w:rFonts w:ascii="Arial" w:hAnsi="Arial" w:cs="Arial"/>
                <w:color w:val="000000"/>
                <w:sz w:val="20"/>
              </w:rPr>
            </w:pPr>
            <w:r>
              <w:rPr>
                <w:rFonts w:cs="Arial" w:ascii="Arial" w:hAnsi="Arial"/>
                <w:color w:val="000000"/>
                <w:sz w:val="20"/>
              </w:rPr>
              <w:t>Proposed Adopted</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12"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r>
      <w:tr>
        <w:trPr>
          <w:trHeight w:val="410" w:hRule="atLeast"/>
        </w:trPr>
        <w:tc>
          <w:tcPr>
            <w:tcW w:w="1339" w:type="dxa"/>
            <w:tcBorders>
              <w:top w:val="single" w:sz="6" w:space="0" w:color="000000"/>
              <w:start w:val="single" w:sz="12" w:space="0" w:color="000000"/>
              <w:bottom w:val="single" w:sz="6" w:space="0" w:color="000000"/>
              <w:end w:val="single" w:sz="6" w:space="0" w:color="000000"/>
            </w:tcBorders>
          </w:tcPr>
          <w:p>
            <w:pPr>
              <w:pStyle w:val="Normal"/>
              <w:spacing w:before="40" w:after="40"/>
              <w:rPr>
                <w:rFonts w:ascii="Arial" w:hAnsi="Arial" w:cs="Arial"/>
                <w:color w:val="000000"/>
                <w:sz w:val="20"/>
              </w:rPr>
            </w:pPr>
            <w:r>
              <w:rPr>
                <w:rFonts w:cs="Arial" w:ascii="Arial" w:hAnsi="Arial"/>
                <w:color w:val="000000"/>
                <w:sz w:val="20"/>
              </w:rPr>
              <w:t>Distributed generation</w:t>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Proposed</w:t>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Adopted</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12"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r>
      <w:tr>
        <w:trPr>
          <w:trHeight w:val="410" w:hRule="atLeast"/>
        </w:trPr>
        <w:tc>
          <w:tcPr>
            <w:tcW w:w="1339" w:type="dxa"/>
            <w:tcBorders>
              <w:top w:val="single" w:sz="6" w:space="0" w:color="000000"/>
              <w:start w:val="single" w:sz="12" w:space="0" w:color="000000"/>
              <w:bottom w:val="single" w:sz="6" w:space="0" w:color="000000"/>
              <w:end w:val="single" w:sz="6" w:space="0" w:color="000000"/>
            </w:tcBorders>
          </w:tcPr>
          <w:p>
            <w:pPr>
              <w:pStyle w:val="Normal"/>
              <w:spacing w:before="120" w:after="40"/>
              <w:rPr>
                <w:rFonts w:ascii="Arial" w:hAnsi="Arial" w:cs="Arial"/>
                <w:color w:val="000000"/>
                <w:sz w:val="20"/>
              </w:rPr>
            </w:pPr>
            <w:r>
              <w:rPr>
                <w:rFonts w:cs="Arial" w:ascii="Arial" w:hAnsi="Arial"/>
                <w:color w:val="000000"/>
                <w:sz w:val="20"/>
              </w:rPr>
              <w:t>Renewable energy mandate</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40" w:after="40"/>
              <w:jc w:val="center"/>
              <w:rPr>
                <w:rFonts w:ascii="Arial" w:hAnsi="Arial" w:cs="Arial"/>
                <w:color w:val="000000"/>
                <w:sz w:val="20"/>
              </w:rPr>
            </w:pPr>
            <w:r>
              <w:rPr>
                <w:rFonts w:cs="Arial" w:ascii="Arial" w:hAnsi="Arial"/>
                <w:color w:val="000000"/>
                <w:sz w:val="20"/>
              </w:rPr>
              <w:t>Proposed Adopted</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12"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r>
      <w:tr>
        <w:trPr>
          <w:trHeight w:val="360" w:hRule="exact"/>
        </w:trPr>
        <w:tc>
          <w:tcPr>
            <w:tcW w:w="1339" w:type="dxa"/>
            <w:tcBorders>
              <w:top w:val="single" w:sz="6" w:space="0" w:color="000000"/>
              <w:start w:val="single" w:sz="12" w:space="0" w:color="000000"/>
              <w:bottom w:val="single" w:sz="6" w:space="0" w:color="000000"/>
              <w:end w:val="single" w:sz="6" w:space="0" w:color="000000"/>
            </w:tcBorders>
          </w:tcPr>
          <w:p>
            <w:pPr>
              <w:pStyle w:val="Normal"/>
              <w:spacing w:before="40" w:after="40"/>
              <w:rPr>
                <w:rFonts w:ascii="Arial" w:hAnsi="Arial" w:cs="Arial"/>
                <w:color w:val="000000"/>
                <w:sz w:val="20"/>
              </w:rPr>
            </w:pPr>
            <w:r>
              <w:rPr>
                <w:rFonts w:cs="Arial" w:ascii="Arial" w:hAnsi="Arial"/>
                <w:color w:val="000000"/>
                <w:sz w:val="20"/>
              </w:rPr>
              <w:t>Energy efficiency programs</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Proposed</w:t>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Adopted</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12"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r>
      <w:tr>
        <w:trPr>
          <w:trHeight w:val="410" w:hRule="atLeast"/>
        </w:trPr>
        <w:tc>
          <w:tcPr>
            <w:tcW w:w="1339" w:type="dxa"/>
            <w:tcBorders>
              <w:top w:val="single" w:sz="6" w:space="0" w:color="000000"/>
              <w:start w:val="single" w:sz="12" w:space="0" w:color="000000"/>
              <w:bottom w:val="single" w:sz="6" w:space="0" w:color="000000"/>
              <w:end w:val="single" w:sz="6" w:space="0" w:color="000000"/>
            </w:tcBorders>
          </w:tcPr>
          <w:p>
            <w:pPr>
              <w:pStyle w:val="Normal"/>
              <w:spacing w:before="40" w:after="40"/>
              <w:rPr>
                <w:rFonts w:ascii="Arial" w:hAnsi="Arial" w:cs="Arial"/>
                <w:color w:val="000000"/>
                <w:sz w:val="20"/>
              </w:rPr>
            </w:pPr>
            <w:r>
              <w:rPr>
                <w:rFonts w:cs="Arial" w:ascii="Arial" w:hAnsi="Arial"/>
                <w:color w:val="000000"/>
                <w:sz w:val="20"/>
              </w:rPr>
              <w:t>REP, aggregator certification standards</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Proposed</w:t>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spacing w:before="60" w:after="40"/>
              <w:jc w:val="center"/>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Adopted</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12"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r>
      <w:tr>
        <w:trPr>
          <w:trHeight w:val="360" w:hRule="exact"/>
        </w:trPr>
        <w:tc>
          <w:tcPr>
            <w:tcW w:w="1339" w:type="dxa"/>
            <w:tcBorders>
              <w:top w:val="single" w:sz="6" w:space="0" w:color="000000"/>
              <w:start w:val="single" w:sz="12" w:space="0" w:color="000000"/>
              <w:bottom w:val="single" w:sz="6" w:space="0" w:color="000000"/>
              <w:end w:val="single" w:sz="6" w:space="0" w:color="000000"/>
            </w:tcBorders>
          </w:tcPr>
          <w:p>
            <w:pPr>
              <w:pStyle w:val="Normal"/>
              <w:spacing w:before="40" w:after="40"/>
              <w:rPr>
                <w:rFonts w:ascii="Arial" w:hAnsi="Arial" w:cs="Arial"/>
                <w:color w:val="000000"/>
                <w:sz w:val="20"/>
              </w:rPr>
            </w:pPr>
            <w:r>
              <w:rPr>
                <w:rFonts w:cs="Arial" w:ascii="Arial" w:hAnsi="Arial"/>
                <w:color w:val="000000"/>
                <w:sz w:val="20"/>
              </w:rPr>
              <w:t xml:space="preserve">Environmental clean-up </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Proposed</w:t>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Adopted</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12"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r>
      <w:tr>
        <w:trPr>
          <w:trHeight w:val="360" w:hRule="exact"/>
        </w:trPr>
        <w:tc>
          <w:tcPr>
            <w:tcW w:w="1339" w:type="dxa"/>
            <w:tcBorders>
              <w:top w:val="single" w:sz="6" w:space="0" w:color="000000"/>
              <w:start w:val="single" w:sz="12" w:space="0" w:color="000000"/>
              <w:bottom w:val="single" w:sz="6" w:space="0" w:color="000000"/>
              <w:end w:val="single" w:sz="6" w:space="0" w:color="000000"/>
            </w:tcBorders>
          </w:tcPr>
          <w:p>
            <w:pPr>
              <w:pStyle w:val="Normal"/>
              <w:spacing w:before="40" w:after="40"/>
              <w:rPr>
                <w:rFonts w:ascii="Arial" w:hAnsi="Arial" w:cs="Arial"/>
                <w:color w:val="000000"/>
                <w:sz w:val="20"/>
              </w:rPr>
            </w:pPr>
            <w:r>
              <w:rPr>
                <w:rFonts w:cs="Arial" w:ascii="Arial" w:hAnsi="Arial"/>
                <w:color w:val="000000"/>
                <w:sz w:val="20"/>
              </w:rPr>
              <w:t>Retail pilot project</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Proposed</w:t>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Adopted</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12"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r>
      <w:tr>
        <w:trPr>
          <w:trHeight w:val="360" w:hRule="exact"/>
        </w:trPr>
        <w:tc>
          <w:tcPr>
            <w:tcW w:w="1339" w:type="dxa"/>
            <w:tcBorders>
              <w:top w:val="single" w:sz="6" w:space="0" w:color="000000"/>
              <w:start w:val="single" w:sz="12" w:space="0" w:color="000000"/>
              <w:bottom w:val="single" w:sz="6" w:space="0" w:color="000000"/>
              <w:end w:val="single" w:sz="6" w:space="0" w:color="000000"/>
            </w:tcBorders>
          </w:tcPr>
          <w:p>
            <w:pPr>
              <w:pStyle w:val="Normal"/>
              <w:spacing w:before="40" w:after="40"/>
              <w:rPr>
                <w:rFonts w:ascii="Arial" w:hAnsi="Arial" w:cs="Arial"/>
                <w:color w:val="000000"/>
                <w:sz w:val="20"/>
              </w:rPr>
            </w:pPr>
            <w:r>
              <w:rPr>
                <w:rFonts w:cs="Arial" w:ascii="Arial" w:hAnsi="Arial"/>
                <w:color w:val="000000"/>
                <w:sz w:val="20"/>
              </w:rPr>
              <w:t>Market power mitigation</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Proposed</w:t>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Adopted</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12"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r>
      <w:tr>
        <w:trPr>
          <w:trHeight w:val="360" w:hRule="exact"/>
        </w:trPr>
        <w:tc>
          <w:tcPr>
            <w:tcW w:w="1339" w:type="dxa"/>
            <w:tcBorders>
              <w:top w:val="single" w:sz="6" w:space="0" w:color="000000"/>
              <w:start w:val="single" w:sz="12" w:space="0" w:color="000000"/>
              <w:bottom w:val="single" w:sz="6" w:space="0" w:color="000000"/>
              <w:end w:val="single" w:sz="6" w:space="0" w:color="000000"/>
            </w:tcBorders>
          </w:tcPr>
          <w:p>
            <w:pPr>
              <w:pStyle w:val="Normal"/>
              <w:spacing w:before="40" w:after="40"/>
              <w:rPr>
                <w:rFonts w:ascii="Arial" w:hAnsi="Arial" w:cs="Arial"/>
                <w:color w:val="000000"/>
                <w:sz w:val="20"/>
              </w:rPr>
            </w:pPr>
            <w:r>
              <w:rPr>
                <w:rFonts w:cs="Arial" w:ascii="Arial" w:hAnsi="Arial"/>
                <w:color w:val="000000"/>
                <w:sz w:val="20"/>
              </w:rPr>
              <w:t>Provider of last resort</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Proposed</w:t>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Adopted</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12"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r>
      <w:tr>
        <w:trPr>
          <w:trHeight w:val="360" w:hRule="exact"/>
        </w:trPr>
        <w:tc>
          <w:tcPr>
            <w:tcW w:w="1339" w:type="dxa"/>
            <w:tcBorders>
              <w:top w:val="single" w:sz="6" w:space="0" w:color="000000"/>
              <w:start w:val="single" w:sz="12" w:space="0" w:color="000000"/>
              <w:bottom w:val="single" w:sz="6" w:space="0" w:color="000000"/>
              <w:end w:val="single" w:sz="6" w:space="0" w:color="000000"/>
            </w:tcBorders>
          </w:tcPr>
          <w:p>
            <w:pPr>
              <w:pStyle w:val="Normal"/>
              <w:spacing w:before="40" w:after="40"/>
              <w:rPr>
                <w:rFonts w:ascii="Arial" w:hAnsi="Arial" w:cs="Arial"/>
                <w:color w:val="000000"/>
                <w:sz w:val="20"/>
              </w:rPr>
            </w:pPr>
            <w:r>
              <w:rPr>
                <w:rFonts w:cs="Arial" w:ascii="Arial" w:hAnsi="Arial"/>
                <w:color w:val="000000"/>
                <w:sz w:val="20"/>
              </w:rPr>
              <w:t>Provider of last resort (Terms &amp; Conditions)</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spacing w:before="60" w:after="40"/>
              <w:jc w:val="center"/>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spacing w:before="60" w:after="40"/>
              <w:jc w:val="center"/>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pacing w:before="40" w:after="40"/>
              <w:rPr>
                <w:rFonts w:ascii="Arial" w:hAnsi="Arial" w:cs="Arial"/>
                <w:color w:val="000000"/>
                <w:sz w:val="20"/>
              </w:rPr>
            </w:pPr>
            <w:r>
              <w:rPr>
                <w:rFonts w:cs="Arial" w:ascii="Arial" w:hAnsi="Arial"/>
                <w:color w:val="000000"/>
                <w:sz w:val="20"/>
              </w:rPr>
              <w:t xml:space="preserve">Proposed </w:t>
            </w:r>
          </w:p>
        </w:tc>
        <w:tc>
          <w:tcPr>
            <w:tcW w:w="1006" w:type="dxa"/>
            <w:tcBorders>
              <w:top w:val="single" w:sz="6" w:space="0" w:color="000000"/>
              <w:start w:val="single" w:sz="6" w:space="0" w:color="000000"/>
              <w:bottom w:val="single" w:sz="6" w:space="0" w:color="000000"/>
              <w:end w:val="single" w:sz="12"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r>
      <w:tr>
        <w:trPr>
          <w:trHeight w:val="360" w:hRule="exact"/>
        </w:trPr>
        <w:tc>
          <w:tcPr>
            <w:tcW w:w="1339" w:type="dxa"/>
            <w:tcBorders>
              <w:top w:val="single" w:sz="6" w:space="0" w:color="000000"/>
              <w:start w:val="single" w:sz="12" w:space="0" w:color="000000"/>
              <w:bottom w:val="single" w:sz="6" w:space="0" w:color="000000"/>
              <w:end w:val="single" w:sz="6" w:space="0" w:color="000000"/>
            </w:tcBorders>
          </w:tcPr>
          <w:p>
            <w:pPr>
              <w:pStyle w:val="Normal"/>
              <w:spacing w:before="40" w:after="40"/>
              <w:rPr>
                <w:rFonts w:ascii="Arial" w:hAnsi="Arial" w:cs="Arial"/>
                <w:color w:val="000000"/>
                <w:sz w:val="20"/>
              </w:rPr>
            </w:pPr>
            <w:r>
              <w:rPr>
                <w:rFonts w:cs="Arial" w:ascii="Arial" w:hAnsi="Arial"/>
                <w:color w:val="000000"/>
                <w:sz w:val="20"/>
              </w:rPr>
              <w:t>Customer protection</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Proposed</w:t>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Adopted</w:t>
            </w:r>
          </w:p>
        </w:tc>
        <w:tc>
          <w:tcPr>
            <w:tcW w:w="1006"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spacing w:before="60" w:after="40"/>
              <w:jc w:val="center"/>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12"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r>
      <w:tr>
        <w:trPr>
          <w:trHeight w:val="360" w:hRule="exact"/>
        </w:trPr>
        <w:tc>
          <w:tcPr>
            <w:tcW w:w="1339" w:type="dxa"/>
            <w:tcBorders>
              <w:top w:val="single" w:sz="6" w:space="0" w:color="000000"/>
              <w:start w:val="single" w:sz="12" w:space="0" w:color="000000"/>
              <w:bottom w:val="single" w:sz="6" w:space="0" w:color="000000"/>
              <w:end w:val="single" w:sz="6" w:space="0" w:color="000000"/>
            </w:tcBorders>
          </w:tcPr>
          <w:p>
            <w:pPr>
              <w:pStyle w:val="Normal"/>
              <w:spacing w:before="40" w:after="40"/>
              <w:rPr>
                <w:rFonts w:ascii="Arial" w:hAnsi="Arial" w:cs="Arial"/>
                <w:color w:val="000000"/>
                <w:sz w:val="20"/>
              </w:rPr>
            </w:pPr>
            <w:r>
              <w:rPr>
                <w:rFonts w:cs="Arial" w:ascii="Arial" w:hAnsi="Arial"/>
                <w:color w:val="000000"/>
                <w:sz w:val="20"/>
              </w:rPr>
              <w:t>Distribution service terms</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Proposed</w:t>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Adopted</w:t>
            </w:r>
          </w:p>
        </w:tc>
        <w:tc>
          <w:tcPr>
            <w:tcW w:w="1006"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spacing w:before="60" w:after="40"/>
              <w:jc w:val="center"/>
              <w:rPr>
                <w:rFonts w:ascii="Arial" w:hAnsi="Arial" w:cs="Arial"/>
                <w:color w:val="000000"/>
                <w:sz w:val="20"/>
                <w:highlight w:val="yellow"/>
              </w:rPr>
            </w:pPr>
            <w:r>
              <w:rPr>
                <w:rFonts w:cs="Arial" w:ascii="Arial" w:hAnsi="Arial"/>
                <w:color w:val="000000"/>
                <w:sz w:val="20"/>
                <w:highlight w:val="yellow"/>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highlight w:val="yellow"/>
              </w:rPr>
            </w:pPr>
            <w:r>
              <w:rPr>
                <w:rFonts w:cs="Arial" w:ascii="Arial" w:hAnsi="Arial"/>
                <w:color w:val="000000"/>
                <w:sz w:val="20"/>
                <w:highlight w:val="yellow"/>
              </w:rPr>
            </w:r>
          </w:p>
        </w:tc>
        <w:tc>
          <w:tcPr>
            <w:tcW w:w="1006" w:type="dxa"/>
            <w:tcBorders>
              <w:top w:val="single" w:sz="6" w:space="0" w:color="000000"/>
              <w:start w:val="single" w:sz="6" w:space="0" w:color="000000"/>
              <w:bottom w:val="single" w:sz="6" w:space="0" w:color="000000"/>
              <w:end w:val="single" w:sz="12"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r>
      <w:tr>
        <w:trPr>
          <w:trHeight w:val="360" w:hRule="exact"/>
        </w:trPr>
        <w:tc>
          <w:tcPr>
            <w:tcW w:w="1339" w:type="dxa"/>
            <w:tcBorders>
              <w:top w:val="single" w:sz="6" w:space="0" w:color="000000"/>
              <w:start w:val="single" w:sz="12" w:space="0" w:color="000000"/>
              <w:bottom w:val="single" w:sz="6" w:space="0" w:color="000000"/>
              <w:end w:val="single" w:sz="6" w:space="0" w:color="000000"/>
            </w:tcBorders>
          </w:tcPr>
          <w:p>
            <w:pPr>
              <w:pStyle w:val="Normal"/>
              <w:spacing w:before="40" w:after="40"/>
              <w:rPr>
                <w:rFonts w:ascii="Arial" w:hAnsi="Arial" w:cs="Arial"/>
                <w:color w:val="000000"/>
                <w:sz w:val="20"/>
              </w:rPr>
            </w:pPr>
            <w:r>
              <w:rPr>
                <w:rFonts w:cs="Arial" w:ascii="Arial" w:hAnsi="Arial"/>
                <w:color w:val="000000"/>
                <w:sz w:val="20"/>
              </w:rPr>
              <w:t>Capacity auction</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Proposed</w:t>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highlight w:val="yellow"/>
              </w:rPr>
            </w:pPr>
            <w:r>
              <w:rPr>
                <w:rFonts w:cs="Arial" w:ascii="Arial" w:hAnsi="Arial"/>
                <w:color w:val="000000"/>
                <w:sz w:val="20"/>
              </w:rPr>
              <w:t>Adopted</w:t>
            </w:r>
          </w:p>
        </w:tc>
        <w:tc>
          <w:tcPr>
            <w:tcW w:w="1006"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spacing w:before="60" w:after="40"/>
              <w:jc w:val="center"/>
              <w:rPr>
                <w:rFonts w:ascii="Arial" w:hAnsi="Arial" w:cs="Arial"/>
                <w:color w:val="000000"/>
                <w:sz w:val="20"/>
                <w:highlight w:val="yellow"/>
              </w:rPr>
            </w:pPr>
            <w:r>
              <w:rPr>
                <w:rFonts w:cs="Arial" w:ascii="Arial" w:hAnsi="Arial"/>
                <w:color w:val="000000"/>
                <w:sz w:val="20"/>
                <w:highlight w:val="yellow"/>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highlight w:val="yellow"/>
              </w:rPr>
            </w:pPr>
            <w:r>
              <w:rPr>
                <w:rFonts w:cs="Arial" w:ascii="Arial" w:hAnsi="Arial"/>
                <w:color w:val="000000"/>
                <w:sz w:val="20"/>
                <w:highlight w:val="yellow"/>
              </w:rPr>
            </w:r>
          </w:p>
        </w:tc>
        <w:tc>
          <w:tcPr>
            <w:tcW w:w="1006" w:type="dxa"/>
            <w:tcBorders>
              <w:top w:val="single" w:sz="6" w:space="0" w:color="000000"/>
              <w:start w:val="single" w:sz="6" w:space="0" w:color="000000"/>
              <w:bottom w:val="single" w:sz="6" w:space="0" w:color="000000"/>
              <w:end w:val="single" w:sz="12"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r>
      <w:tr>
        <w:trPr>
          <w:trHeight w:val="360" w:hRule="exact"/>
        </w:trPr>
        <w:tc>
          <w:tcPr>
            <w:tcW w:w="1339" w:type="dxa"/>
            <w:tcBorders>
              <w:top w:val="single" w:sz="6" w:space="0" w:color="000000"/>
              <w:start w:val="single" w:sz="12" w:space="0" w:color="000000"/>
              <w:bottom w:val="single" w:sz="6" w:space="0" w:color="000000"/>
              <w:end w:val="single" w:sz="6" w:space="0" w:color="000000"/>
            </w:tcBorders>
          </w:tcPr>
          <w:p>
            <w:pPr>
              <w:pStyle w:val="Normal"/>
              <w:spacing w:before="40" w:after="40"/>
              <w:rPr>
                <w:rFonts w:ascii="Arial" w:hAnsi="Arial" w:cs="Arial"/>
                <w:color w:val="000000"/>
                <w:sz w:val="20"/>
              </w:rPr>
            </w:pPr>
            <w:r>
              <w:rPr>
                <w:rFonts w:cs="Arial" w:ascii="Arial" w:hAnsi="Arial"/>
                <w:color w:val="000000"/>
                <w:sz w:val="20"/>
              </w:rPr>
              <w:t>System benefit fund</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Proposed</w:t>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pacing w:before="60" w:after="40"/>
              <w:jc w:val="center"/>
              <w:rPr>
                <w:rFonts w:ascii="Arial" w:hAnsi="Arial" w:cs="Arial"/>
                <w:color w:val="000000"/>
                <w:sz w:val="20"/>
              </w:rPr>
            </w:pPr>
            <w:r>
              <w:rPr>
                <w:rFonts w:cs="Arial" w:ascii="Arial" w:hAnsi="Arial"/>
                <w:color w:val="000000"/>
                <w:sz w:val="20"/>
              </w:rPr>
              <w:t>Adopted</w:t>
            </w:r>
          </w:p>
        </w:tc>
        <w:tc>
          <w:tcPr>
            <w:tcW w:w="1006"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spacing w:before="60" w:after="40"/>
              <w:jc w:val="center"/>
              <w:rPr>
                <w:rFonts w:ascii="Arial" w:hAnsi="Arial" w:cs="Arial"/>
                <w:color w:val="000000"/>
                <w:sz w:val="20"/>
                <w:highlight w:val="yellow"/>
              </w:rPr>
            </w:pPr>
            <w:r>
              <w:rPr>
                <w:rFonts w:cs="Arial" w:ascii="Arial" w:hAnsi="Arial"/>
                <w:color w:val="000000"/>
                <w:sz w:val="20"/>
                <w:highlight w:val="yellow"/>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highlight w:val="yellow"/>
              </w:rPr>
            </w:pPr>
            <w:r>
              <w:rPr>
                <w:rFonts w:cs="Arial" w:ascii="Arial" w:hAnsi="Arial"/>
                <w:color w:val="000000"/>
                <w:sz w:val="20"/>
                <w:highlight w:val="yellow"/>
              </w:rPr>
            </w:r>
          </w:p>
        </w:tc>
        <w:tc>
          <w:tcPr>
            <w:tcW w:w="1006" w:type="dxa"/>
            <w:tcBorders>
              <w:top w:val="single" w:sz="6" w:space="0" w:color="000000"/>
              <w:start w:val="single" w:sz="6" w:space="0" w:color="000000"/>
              <w:end w:val="single" w:sz="12"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r>
      <w:tr>
        <w:trPr>
          <w:trHeight w:val="410" w:hRule="atLeast"/>
        </w:trPr>
        <w:tc>
          <w:tcPr>
            <w:tcW w:w="1339" w:type="dxa"/>
            <w:tcBorders>
              <w:top w:val="single" w:sz="6" w:space="0" w:color="000000"/>
              <w:start w:val="single" w:sz="12" w:space="0" w:color="000000"/>
              <w:bottom w:val="single" w:sz="6" w:space="0" w:color="000000"/>
              <w:end w:val="single" w:sz="6" w:space="0" w:color="000000"/>
            </w:tcBorders>
          </w:tcPr>
          <w:p>
            <w:pPr>
              <w:pStyle w:val="Normal"/>
              <w:spacing w:before="120" w:after="40"/>
              <w:rPr>
                <w:rFonts w:ascii="Arial" w:hAnsi="Arial" w:cs="Arial"/>
                <w:color w:val="000000"/>
                <w:sz w:val="20"/>
              </w:rPr>
            </w:pPr>
            <w:r>
              <w:rPr>
                <w:rFonts w:cs="Arial" w:ascii="Arial" w:hAnsi="Arial"/>
                <w:color w:val="000000"/>
                <w:sz w:val="20"/>
              </w:rPr>
              <w:t>Price to beat</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pacing w:before="120" w:after="40"/>
              <w:rPr>
                <w:rFonts w:ascii="Arial" w:hAnsi="Arial" w:cs="Arial"/>
                <w:color w:val="000000"/>
                <w:sz w:val="20"/>
              </w:rPr>
            </w:pPr>
            <w:r>
              <w:rPr>
                <w:rFonts w:cs="Arial" w:ascii="Arial" w:hAnsi="Arial"/>
                <w:color w:val="000000"/>
                <w:sz w:val="20"/>
                <w:highlight w:val="yellow"/>
              </w:rPr>
              <w:t>Proposed</w:t>
            </w:r>
          </w:p>
        </w:tc>
        <w:tc>
          <w:tcPr>
            <w:tcW w:w="1006" w:type="dxa"/>
            <w:tcBorders>
              <w:start w:val="single" w:sz="6" w:space="0" w:color="000000"/>
              <w:end w:val="single" w:sz="6" w:space="0" w:color="000000"/>
            </w:tcBorders>
            <w:shd w:fill="FFFF00" w:val="clear"/>
          </w:tcPr>
          <w:p>
            <w:pPr>
              <w:pStyle w:val="Normal"/>
              <w:spacing w:before="120" w:after="40"/>
              <w:rPr>
                <w:rFonts w:ascii="Arial" w:hAnsi="Arial" w:cs="Arial"/>
                <w:color w:val="000000"/>
                <w:sz w:val="20"/>
              </w:rPr>
            </w:pPr>
            <w:r>
              <w:rPr>
                <w:rFonts w:cs="Arial" w:ascii="Arial" w:hAnsi="Arial"/>
                <w:color w:val="000000"/>
                <w:sz w:val="20"/>
              </w:rPr>
              <w:t>Adopted</w:t>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spacing w:before="40" w:after="40"/>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12" w:space="0" w:color="000000"/>
            </w:tcBorders>
          </w:tcPr>
          <w:p>
            <w:pPr>
              <w:pStyle w:val="Normal"/>
              <w:snapToGrid w:val="false"/>
              <w:spacing w:before="40" w:after="40"/>
              <w:jc w:val="center"/>
              <w:rPr>
                <w:rFonts w:ascii="Arial" w:hAnsi="Arial" w:cs="Arial"/>
                <w:color w:val="000000"/>
                <w:sz w:val="20"/>
              </w:rPr>
            </w:pPr>
            <w:r>
              <w:rPr>
                <w:rFonts w:cs="Arial" w:ascii="Arial" w:hAnsi="Arial"/>
                <w:color w:val="000000"/>
                <w:sz w:val="20"/>
              </w:rPr>
            </w:r>
          </w:p>
        </w:tc>
      </w:tr>
      <w:tr>
        <w:trPr>
          <w:trHeight w:val="410" w:hRule="atLeast"/>
        </w:trPr>
        <w:tc>
          <w:tcPr>
            <w:tcW w:w="1339" w:type="dxa"/>
            <w:tcBorders>
              <w:top w:val="single" w:sz="6" w:space="0" w:color="000000"/>
              <w:start w:val="single" w:sz="12" w:space="0" w:color="000000"/>
              <w:bottom w:val="single" w:sz="6" w:space="0" w:color="000000"/>
              <w:end w:val="single" w:sz="6" w:space="0" w:color="000000"/>
            </w:tcBorders>
          </w:tcPr>
          <w:p>
            <w:pPr>
              <w:pStyle w:val="Normal"/>
              <w:spacing w:before="120" w:after="40"/>
              <w:rPr>
                <w:rFonts w:ascii="Arial" w:hAnsi="Arial" w:cs="Arial"/>
                <w:color w:val="000000"/>
                <w:sz w:val="20"/>
              </w:rPr>
            </w:pPr>
            <w:r>
              <w:rPr>
                <w:rFonts w:cs="Arial" w:ascii="Arial" w:hAnsi="Arial"/>
                <w:color w:val="000000"/>
                <w:sz w:val="20"/>
              </w:rPr>
              <w:t>ERCOT transmission rules</w:t>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6" w:space="0" w:color="000000"/>
              <w:end w:val="single" w:sz="6" w:space="0" w:color="000000"/>
            </w:tcBorders>
          </w:tcPr>
          <w:p>
            <w:pPr>
              <w:pStyle w:val="Normal"/>
              <w:snapToGrid w:val="false"/>
              <w:spacing w:before="120" w:after="40"/>
              <w:jc w:val="center"/>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6" w:space="0" w:color="000000"/>
              <w:end w:val="single" w:sz="6" w:space="0" w:color="000000"/>
            </w:tcBorders>
          </w:tcPr>
          <w:p>
            <w:pPr>
              <w:pStyle w:val="Normal"/>
              <w:spacing w:before="120" w:after="40"/>
              <w:jc w:val="center"/>
              <w:rPr>
                <w:rFonts w:ascii="Arial" w:hAnsi="Arial" w:cs="Arial"/>
                <w:sz w:val="20"/>
                <w:highlight w:val="yellow"/>
              </w:rPr>
            </w:pPr>
            <w:r>
              <w:rPr>
                <w:rFonts w:cs="Arial" w:ascii="Arial" w:hAnsi="Arial"/>
                <w:sz w:val="20"/>
                <w:highlight w:val="yellow"/>
              </w:rPr>
              <w:t>Scheduled Proposal</w:t>
            </w:r>
          </w:p>
        </w:tc>
        <w:tc>
          <w:tcPr>
            <w:tcW w:w="917" w:type="dxa"/>
            <w:tcBorders>
              <w:top w:val="single" w:sz="6" w:space="0" w:color="000000"/>
              <w:start w:val="single" w:sz="6" w:space="0" w:color="000000"/>
              <w:bottom w:val="single" w:sz="6" w:space="0" w:color="000000"/>
              <w:end w:val="single" w:sz="6" w:space="0" w:color="000000"/>
            </w:tcBorders>
            <w:shd w:fill="FFFF00" w:val="clear"/>
          </w:tcPr>
          <w:p>
            <w:pPr>
              <w:pStyle w:val="Normal"/>
              <w:snapToGrid w:val="false"/>
              <w:spacing w:before="40" w:after="40"/>
              <w:jc w:val="center"/>
              <w:rPr>
                <w:rFonts w:ascii="Arial" w:hAnsi="Arial" w:cs="Arial"/>
                <w:color w:val="000000"/>
                <w:sz w:val="20"/>
                <w:highlight w:val="yellow"/>
              </w:rPr>
            </w:pPr>
            <w:r>
              <w:rPr>
                <w:rFonts w:cs="Arial" w:ascii="Arial" w:hAnsi="Arial"/>
                <w:color w:val="000000"/>
                <w:sz w:val="20"/>
                <w:highlight w:val="yellow"/>
              </w:rPr>
            </w:r>
          </w:p>
        </w:tc>
        <w:tc>
          <w:tcPr>
            <w:tcW w:w="1006" w:type="dxa"/>
            <w:tcBorders>
              <w:start w:val="single" w:sz="6" w:space="0" w:color="000000"/>
              <w:bottom w:val="single" w:sz="6" w:space="0" w:color="000000"/>
              <w:end w:val="single" w:sz="12" w:space="0" w:color="000000"/>
            </w:tcBorders>
            <w:shd w:fill="FFFF00" w:val="clear"/>
          </w:tcPr>
          <w:p>
            <w:pPr>
              <w:pStyle w:val="Normal"/>
              <w:spacing w:before="40" w:after="40"/>
              <w:jc w:val="center"/>
              <w:rPr>
                <w:rFonts w:ascii="Arial" w:hAnsi="Arial" w:cs="Arial"/>
                <w:color w:val="000000"/>
                <w:sz w:val="20"/>
              </w:rPr>
            </w:pPr>
            <w:r>
              <w:rPr>
                <w:rFonts w:cs="Arial" w:ascii="Arial" w:hAnsi="Arial"/>
                <w:color w:val="000000"/>
                <w:sz w:val="20"/>
              </w:rPr>
              <w:t>Scheduled</w:t>
            </w:r>
          </w:p>
          <w:p>
            <w:pPr>
              <w:pStyle w:val="Normal"/>
              <w:spacing w:before="40" w:after="40"/>
              <w:jc w:val="center"/>
              <w:rPr>
                <w:rFonts w:ascii="Arial" w:hAnsi="Arial" w:cs="Arial"/>
                <w:color w:val="000000"/>
                <w:sz w:val="20"/>
              </w:rPr>
            </w:pPr>
            <w:r>
              <w:rPr>
                <w:rFonts w:cs="Arial" w:ascii="Arial" w:hAnsi="Arial"/>
                <w:color w:val="000000"/>
                <w:sz w:val="20"/>
              </w:rPr>
              <w:t>Adoption</w:t>
            </w:r>
          </w:p>
        </w:tc>
      </w:tr>
      <w:tr>
        <w:trPr>
          <w:trHeight w:val="410" w:hRule="atLeast"/>
        </w:trPr>
        <w:tc>
          <w:tcPr>
            <w:tcW w:w="1339" w:type="dxa"/>
            <w:tcBorders>
              <w:top w:val="single" w:sz="6" w:space="0" w:color="000000"/>
              <w:start w:val="single" w:sz="12" w:space="0" w:color="000000"/>
              <w:bottom w:val="single" w:sz="12" w:space="0" w:color="000000"/>
              <w:end w:val="single" w:sz="6" w:space="0" w:color="000000"/>
            </w:tcBorders>
          </w:tcPr>
          <w:p>
            <w:pPr>
              <w:pStyle w:val="Normal"/>
              <w:spacing w:before="120" w:after="40"/>
              <w:rPr>
                <w:rFonts w:ascii="Arial" w:hAnsi="Arial" w:cs="Arial"/>
                <w:color w:val="000000"/>
                <w:sz w:val="20"/>
              </w:rPr>
            </w:pPr>
            <w:r>
              <w:rPr>
                <w:rFonts w:cs="Arial" w:ascii="Arial" w:hAnsi="Arial"/>
                <w:color w:val="000000"/>
                <w:sz w:val="20"/>
              </w:rPr>
              <w:t>True-up</w:t>
            </w:r>
          </w:p>
        </w:tc>
        <w:tc>
          <w:tcPr>
            <w:tcW w:w="917" w:type="dxa"/>
            <w:tcBorders>
              <w:top w:val="single" w:sz="6" w:space="0" w:color="000000"/>
              <w:start w:val="single" w:sz="6" w:space="0" w:color="000000"/>
              <w:bottom w:val="single" w:sz="12"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12"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12"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12"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12" w:space="0" w:color="000000"/>
              <w:end w:val="single" w:sz="6" w:space="0" w:color="000000"/>
            </w:tcBorders>
          </w:tcPr>
          <w:p>
            <w:pPr>
              <w:pStyle w:val="Normal"/>
              <w:snapToGrid w:val="false"/>
              <w:spacing w:before="40" w:after="40"/>
              <w:rPr>
                <w:rFonts w:ascii="Arial" w:hAnsi="Arial" w:cs="Arial"/>
                <w:color w:val="000000"/>
                <w:sz w:val="20"/>
              </w:rPr>
            </w:pPr>
            <w:r>
              <w:rPr>
                <w:rFonts w:cs="Arial" w:ascii="Arial" w:hAnsi="Arial"/>
                <w:color w:val="000000"/>
                <w:sz w:val="20"/>
              </w:rPr>
            </w:r>
          </w:p>
        </w:tc>
        <w:tc>
          <w:tcPr>
            <w:tcW w:w="917" w:type="dxa"/>
            <w:tcBorders>
              <w:top w:val="single" w:sz="6" w:space="0" w:color="000000"/>
              <w:start w:val="single" w:sz="6" w:space="0" w:color="000000"/>
              <w:bottom w:val="single" w:sz="12" w:space="0" w:color="000000"/>
              <w:end w:val="single" w:sz="6" w:space="0" w:color="000000"/>
            </w:tcBorders>
          </w:tcPr>
          <w:p>
            <w:pPr>
              <w:pStyle w:val="Normal"/>
              <w:snapToGrid w:val="false"/>
              <w:spacing w:before="120" w:after="40"/>
              <w:jc w:val="center"/>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12" w:space="0" w:color="000000"/>
              <w:end w:val="single" w:sz="6" w:space="0" w:color="000000"/>
            </w:tcBorders>
          </w:tcPr>
          <w:p>
            <w:pPr>
              <w:pStyle w:val="Normal"/>
              <w:spacing w:before="120" w:after="40"/>
              <w:jc w:val="center"/>
              <w:rPr>
                <w:rFonts w:ascii="Arial" w:hAnsi="Arial" w:cs="Arial"/>
                <w:color w:val="000000"/>
                <w:sz w:val="20"/>
              </w:rPr>
            </w:pPr>
            <w:r>
              <w:rPr>
                <w:rFonts w:cs="Arial" w:ascii="Arial" w:hAnsi="Arial"/>
                <w:color w:val="000000"/>
                <w:sz w:val="20"/>
              </w:rPr>
              <w:t>Scheduled Proposal</w:t>
            </w:r>
          </w:p>
        </w:tc>
        <w:tc>
          <w:tcPr>
            <w:tcW w:w="917" w:type="dxa"/>
            <w:tcBorders>
              <w:top w:val="single" w:sz="6" w:space="0" w:color="000000"/>
              <w:start w:val="single" w:sz="6" w:space="0" w:color="000000"/>
              <w:bottom w:val="single" w:sz="12" w:space="0" w:color="000000"/>
              <w:end w:val="single" w:sz="6" w:space="0" w:color="000000"/>
            </w:tcBorders>
            <w:shd w:fill="FFFF00" w:val="clear"/>
          </w:tcPr>
          <w:p>
            <w:pPr>
              <w:pStyle w:val="Normal"/>
              <w:snapToGrid w:val="false"/>
              <w:spacing w:before="40" w:after="40"/>
              <w:jc w:val="center"/>
              <w:rPr>
                <w:rFonts w:ascii="Arial" w:hAnsi="Arial" w:cs="Arial"/>
                <w:color w:val="000000"/>
                <w:sz w:val="20"/>
              </w:rPr>
            </w:pPr>
            <w:r>
              <w:rPr>
                <w:rFonts w:cs="Arial" w:ascii="Arial" w:hAnsi="Arial"/>
                <w:color w:val="000000"/>
                <w:sz w:val="20"/>
              </w:rPr>
            </w:r>
          </w:p>
        </w:tc>
        <w:tc>
          <w:tcPr>
            <w:tcW w:w="1006" w:type="dxa"/>
            <w:tcBorders>
              <w:top w:val="single" w:sz="6" w:space="0" w:color="000000"/>
              <w:start w:val="single" w:sz="6" w:space="0" w:color="000000"/>
              <w:bottom w:val="single" w:sz="12" w:space="0" w:color="000000"/>
              <w:end w:val="single" w:sz="12" w:space="0" w:color="000000"/>
            </w:tcBorders>
            <w:shd w:fill="FFFF00" w:val="clear"/>
          </w:tcPr>
          <w:p>
            <w:pPr>
              <w:pStyle w:val="Normal"/>
              <w:spacing w:before="40" w:after="40"/>
              <w:jc w:val="center"/>
              <w:rPr>
                <w:rFonts w:ascii="Arial" w:hAnsi="Arial" w:cs="Arial"/>
                <w:color w:val="000000"/>
                <w:sz w:val="20"/>
              </w:rPr>
            </w:pPr>
            <w:r>
              <w:rPr>
                <w:rFonts w:cs="Arial" w:ascii="Arial" w:hAnsi="Arial"/>
                <w:color w:val="000000"/>
                <w:sz w:val="20"/>
              </w:rPr>
              <w:t>Scheduled</w:t>
              <w:br/>
              <w:t>Adoption</w:t>
            </w:r>
          </w:p>
        </w:tc>
      </w:tr>
    </w:tbl>
    <w:p>
      <w:pPr>
        <w:pStyle w:val="Normal"/>
        <w:rPr/>
      </w:pPr>
      <w:r>
        <w:rPr/>
      </w:r>
    </w:p>
    <w:p>
      <w:pPr>
        <w:pStyle w:val="Normal"/>
        <w:rPr/>
      </w:pPr>
      <w:r>
        <w:rPr/>
        <w:t>The rulemakings that initially affect our marketing efforts in Texas are the Price To Beat (PTB) and the Provider Of Last Resort (POLR).  SB7 requires the Retail Electric Provider affiliated with the transmission and distribution utility to make available to all customers whose peak demand is less than 1,000 kW a rate that is on average six percent less than the rates that were in effect on January 1, 1999 adjusted for fuel.   For customers whose peak demand is in excess of 1,000 kW, the affiliated REP will provide service for customers who do not choose an alternative REP with disclosure of price and terms and conditions to be provided by June 1, 2001.</w:t>
      </w:r>
    </w:p>
    <w:p>
      <w:pPr>
        <w:pStyle w:val="Normal"/>
        <w:rPr/>
      </w:pPr>
      <w:r>
        <w:rPr/>
      </w:r>
    </w:p>
    <w:p>
      <w:pPr>
        <w:pStyle w:val="BodyText2"/>
        <w:rPr>
          <w:b w:val="false"/>
        </w:rPr>
      </w:pPr>
      <w:r>
        <w:rPr>
          <w:b w:val="false"/>
        </w:rPr>
        <w:t>Default prices and attendant service terms and conditions for customers whose peak demand is greater than 1,000 kW have been provided by the utility affiliate REP.  As of August 23, only TXU’s affiliate has provided a tariff, which we believe, is in conformance with the intent of the PUCT ruling regarding large customer default service.  Government Affairs will seek to obtain all utility affiliate offerings and will likely request that the PUCT require all affiliate REP’s to conform to a standard disclosure including service terms and conditions.</w:t>
      </w:r>
    </w:p>
    <w:p>
      <w:pPr>
        <w:pStyle w:val="BodyText2"/>
        <w:rPr>
          <w:b w:val="false"/>
        </w:rPr>
      </w:pPr>
      <w:r>
        <w:rPr>
          <w:b w:val="false"/>
        </w:rPr>
      </w:r>
    </w:p>
    <w:p>
      <w:pPr>
        <w:pStyle w:val="BodyText2"/>
        <w:rPr>
          <w:bCs w:val="false"/>
        </w:rPr>
      </w:pPr>
      <w:r>
        <w:rPr>
          <w:bCs w:val="false"/>
        </w:rPr>
        <w:t xml:space="preserve">Government Affairs has requested disclosure of default service terms and conditions for CP&amp;L including price provisions for non-PTB customers. </w:t>
      </w:r>
    </w:p>
    <w:p>
      <w:pPr>
        <w:pStyle w:val="Normal"/>
        <w:rPr>
          <w:bCs/>
        </w:rPr>
      </w:pPr>
      <w:r>
        <w:rPr>
          <w:bCs/>
        </w:rPr>
      </w:r>
    </w:p>
    <w:p>
      <w:pPr>
        <w:pStyle w:val="Normal"/>
        <w:rPr/>
      </w:pPr>
      <w:r>
        <w:rPr/>
        <w:t xml:space="preserve">The provision allowing the PTB to be adjusted for fuel has generated significant interest from all stakeholders involved in the PTB rulemaking.  In light of continuing increases in the price of natural gas, the fuel factor portion of the PTB will likely reduce the discount from the January 1999 rates and increase the amount of “headroom” available to competing unaffiliated REP’s. </w:t>
      </w:r>
    </w:p>
    <w:p>
      <w:pPr>
        <w:pStyle w:val="Normal"/>
        <w:rPr/>
      </w:pPr>
      <w:r>
        <w:rPr/>
      </w:r>
    </w:p>
    <w:p>
      <w:pPr>
        <w:pStyle w:val="BodyText2"/>
        <w:rPr/>
      </w:pPr>
      <w:r>
        <w:rPr>
          <w:b w:val="false"/>
        </w:rPr>
        <w:t>The final fuel factor calculations will be submitted by the effected utilities beginning in April 2001.   Reliant filed their final fuel factor on April 10, 2001.   Reliant has asked for an exception (from the current Price to Beat Rule) to allow the fuel factor to be adjusted based upon market power prices (not natural gas only).</w:t>
      </w:r>
      <w:r>
        <w:rPr/>
        <w:t xml:space="preserve">  </w:t>
      </w:r>
      <w:r>
        <w:rPr>
          <w:b w:val="false"/>
        </w:rPr>
        <w:t xml:space="preserve">The Administrative Law Judge has certified an issue in the proceeding that addresses the issue of “Headroom”.  The Commission will likely evaluate each utility’s final fuel factor to ensure that the factor is high enough to facilitate competition.  Enron is </w:t>
      </w:r>
      <w:r>
        <w:rPr/>
        <w:t xml:space="preserve">not </w:t>
      </w:r>
      <w:r>
        <w:rPr>
          <w:b w:val="false"/>
        </w:rPr>
        <w:t xml:space="preserve">participating in the final fuel factor proceedings as a member of the Alliance for Retail Markets </w:t>
      </w:r>
      <w:r>
        <w:rPr/>
        <w:t>(of which EES is a member</w:t>
      </w:r>
      <w:r>
        <w:rPr>
          <w:b w:val="false"/>
        </w:rPr>
        <w:t xml:space="preserve">) and is not directly involved in the “Headroom” determination.  This issue is somewhat difficult to address as the way to ensure appropriate “Headroom” is to understand the underlying costs for competing REP’s.  </w:t>
      </w:r>
    </w:p>
    <w:p>
      <w:pPr>
        <w:pStyle w:val="BodyText2"/>
        <w:rPr>
          <w:b w:val="false"/>
        </w:rPr>
      </w:pPr>
      <w:r>
        <w:rPr>
          <w:b w:val="false"/>
        </w:rPr>
      </w:r>
    </w:p>
    <w:p>
      <w:pPr>
        <w:pStyle w:val="BodyText2"/>
        <w:rPr>
          <w:b w:val="false"/>
        </w:rPr>
      </w:pPr>
      <w:r>
        <w:rPr>
          <w:b w:val="false"/>
        </w:rPr>
        <w:t>TXU has filed for approval of their final fuel factor and has simply asked for inclusion of ISO fees as part of the factor determination.  ARM has intervened in this proceeding and will attempt to ensure the appropriate costs that all REP’s will incur are included in the final fuel factor.</w:t>
      </w:r>
    </w:p>
    <w:p>
      <w:pPr>
        <w:pStyle w:val="BodyText2"/>
        <w:rPr>
          <w:b w:val="false"/>
        </w:rPr>
      </w:pPr>
      <w:r>
        <w:rPr>
          <w:b w:val="false"/>
        </w:rPr>
      </w:r>
    </w:p>
    <w:p>
      <w:pPr>
        <w:pStyle w:val="BodyText2"/>
        <w:rPr>
          <w:b w:val="false"/>
        </w:rPr>
      </w:pPr>
      <w:r>
        <w:rPr>
          <w:b w:val="false"/>
        </w:rPr>
        <w:t xml:space="preserve">CP&amp;L’s filing requests inclusion of all costs related to the procurement of power within ERCOT and requests the inclusion of surcharges related to fuel under-recoveries as part of their PTB offering. </w:t>
      </w:r>
    </w:p>
    <w:p>
      <w:pPr>
        <w:pStyle w:val="BodyText2"/>
        <w:rPr>
          <w:b w:val="false"/>
        </w:rPr>
      </w:pPr>
      <w:r>
        <w:rPr>
          <w:b w:val="false"/>
        </w:rPr>
      </w:r>
    </w:p>
    <w:p>
      <w:pPr>
        <w:pStyle w:val="BodyText2"/>
        <w:rPr>
          <w:b w:val="false"/>
          <w:bCs w:val="false"/>
        </w:rPr>
      </w:pPr>
      <w:r>
        <w:rPr>
          <w:b w:val="false"/>
          <w:bCs w:val="false"/>
        </w:rPr>
        <w:t xml:space="preserve">After unsuccessful settlement discussions which attempted to establish a PTB Fuel Factor through a “Black Box” method which set the factor at $.035/kWh, Reliant’s proposal has been heard by an Administrative Law Judge and has been briefed by all parties.  Consumer advocates continue to fight any method for fuel factor determination that will increase the PTB offering.  A Final Order in the Reliant proceeding should be issued by September 2001.  The TXU proceeding is currently scheduled for hearing August 28, 2001. </w:t>
      </w:r>
    </w:p>
    <w:p>
      <w:pPr>
        <w:pStyle w:val="BodyText2"/>
        <w:rPr>
          <w:b w:val="false"/>
          <w:bCs w:val="false"/>
        </w:rPr>
      </w:pPr>
      <w:r>
        <w:rPr>
          <w:b w:val="false"/>
          <w:bCs w:val="false"/>
        </w:rPr>
      </w:r>
    </w:p>
    <w:p>
      <w:pPr>
        <w:pStyle w:val="BodyText2"/>
        <w:rPr/>
      </w:pPr>
      <w:r>
        <w:rPr/>
        <w:t>On August 3, 2001, the PUCT Staff has submitted a procedural schedule to provide consistency among all final fuel factor calculations submitted by the affiliated REP’s.  On October 1, 2001, each AREP will file its updated natural gas information in a generic docket (D. 24460) and submit information to determine the initial “Headroom” that exists under the PTB.</w:t>
      </w:r>
    </w:p>
    <w:p>
      <w:pPr>
        <w:pStyle w:val="BodyText2"/>
        <w:rPr/>
      </w:pPr>
      <w:r>
        <w:rPr/>
      </w:r>
    </w:p>
    <w:p>
      <w:pPr>
        <w:pStyle w:val="BodyText2"/>
        <w:rPr/>
      </w:pPr>
      <w:r>
        <w:rPr/>
        <w:t xml:space="preserve">Final PTB rates will available after PUCT Staff review of the natural gas updates is expected to be less than two weeks.  The “Headroom” analysis will ensure that there will be competitive access and may delay approval of final PTB rates beyond the fuel factor verification period. </w:t>
      </w:r>
    </w:p>
    <w:p>
      <w:pPr>
        <w:pStyle w:val="BodyText2"/>
        <w:rPr/>
      </w:pPr>
      <w:r>
        <w:rPr/>
      </w:r>
    </w:p>
    <w:p>
      <w:pPr>
        <w:pStyle w:val="BodyText2"/>
        <w:rPr/>
      </w:pPr>
      <w:r>
        <w:rPr/>
        <w:t xml:space="preserve">Note……….The PTB rates filed on October 1, 2001 will be the </w:t>
      </w:r>
      <w:r>
        <w:rPr>
          <w:i/>
          <w:iCs/>
          <w:u w:val="single"/>
        </w:rPr>
        <w:t>minimum</w:t>
      </w:r>
      <w:r>
        <w:rPr/>
        <w:t xml:space="preserve"> rate.  </w:t>
      </w:r>
    </w:p>
    <w:p>
      <w:pPr>
        <w:pStyle w:val="Normal"/>
        <w:rPr/>
      </w:pPr>
      <w:r>
        <w:rPr/>
      </w:r>
    </w:p>
    <w:p>
      <w:pPr>
        <w:pStyle w:val="BodyText2"/>
        <w:rPr/>
      </w:pPr>
      <w:r>
        <w:rPr>
          <w:b w:val="false"/>
        </w:rPr>
        <w:t>An additional rulemaking, which has significant impact on both origination and pricing, is the True-Up Rulemaking.  This rulemaking will establish what adjustments will be made to the Non-Bypassable wires Charges in 2004 to reflect; 1) actual stranded costs, 2) reconciliation of capacity auction revenues with power price projections included in the utilities stranded cost estimate, 3) refund of amounts received by the affiliate REP above the market price of electricity, and, 4) refund/collection of fuel balances that exist at December 31, 2001.</w:t>
      </w:r>
      <w:r>
        <w:rPr/>
        <w:t xml:space="preserve"> </w:t>
      </w:r>
    </w:p>
    <w:p>
      <w:pPr>
        <w:pStyle w:val="BodyText2"/>
        <w:rPr/>
      </w:pPr>
      <w:r>
        <w:rPr/>
      </w:r>
    </w:p>
    <w:p>
      <w:pPr>
        <w:pStyle w:val="BodyText2"/>
        <w:rPr>
          <w:b w:val="false"/>
        </w:rPr>
      </w:pPr>
      <w:r>
        <w:rPr>
          <w:b w:val="false"/>
        </w:rPr>
        <w:t xml:space="preserve"> </w:t>
      </w:r>
      <w:r>
        <w:rPr>
          <w:b w:val="false"/>
        </w:rPr>
        <w:t>Enron (as a member of Alliance For Retail Markets) has submitted a proposed true-up Rule that ensures the utility mitigates their stranded costs and that “market price” comparisons used during 2002 and 2003 to establish stranded costs prior to the true-up are appropriate (reflect true market prices).</w:t>
      </w:r>
    </w:p>
    <w:p>
      <w:pPr>
        <w:pStyle w:val="BodyText2"/>
        <w:rPr>
          <w:b w:val="false"/>
        </w:rPr>
      </w:pPr>
      <w:r>
        <w:rPr>
          <w:b w:val="false"/>
        </w:rPr>
      </w:r>
    </w:p>
    <w:p>
      <w:pPr>
        <w:pStyle w:val="BodyText2"/>
        <w:rPr>
          <w:b w:val="false"/>
          <w:bCs w:val="false"/>
        </w:rPr>
      </w:pPr>
      <w:r>
        <w:rPr>
          <w:b w:val="false"/>
          <w:bCs w:val="false"/>
        </w:rPr>
        <w:t xml:space="preserve">Enron has filed briefs that attempt to ensure transactions between affiliates (including Reliant Resources and Reliant HL&amp;P concerning the option granted RRI to acquire HL&amp;P’s generation assets) are conducted in a manner that mitigates stranded costs.  </w:t>
      </w:r>
    </w:p>
    <w:p>
      <w:pPr>
        <w:pStyle w:val="BodyText2"/>
        <w:rPr>
          <w:b w:val="false"/>
          <w:bCs w:val="false"/>
        </w:rPr>
      </w:pPr>
      <w:r>
        <w:rPr>
          <w:b w:val="false"/>
          <w:bCs w:val="false"/>
        </w:rPr>
      </w:r>
    </w:p>
    <w:p>
      <w:pPr>
        <w:pStyle w:val="Normal"/>
        <w:rPr>
          <w:b/>
        </w:rPr>
      </w:pPr>
      <w:r>
        <w:rPr>
          <w:b/>
        </w:rPr>
      </w:r>
    </w:p>
    <w:p>
      <w:pPr>
        <w:pStyle w:val="Normal"/>
        <w:numPr>
          <w:ilvl w:val="0"/>
          <w:numId w:val="0"/>
        </w:numPr>
        <w:outlineLvl w:val="0"/>
        <w:rPr>
          <w:u w:val="single"/>
        </w:rPr>
      </w:pPr>
      <w:r>
        <w:rPr>
          <w:u w:val="single"/>
        </w:rPr>
        <w:t>NON-BYPASSABLE WIRES CHARGES:</w:t>
      </w:r>
    </w:p>
    <w:p>
      <w:pPr>
        <w:pStyle w:val="Normal"/>
        <w:rPr>
          <w:u w:val="single"/>
        </w:rPr>
      </w:pPr>
      <w:r>
        <w:rPr>
          <w:u w:val="single"/>
        </w:rPr>
      </w:r>
    </w:p>
    <w:p>
      <w:pPr>
        <w:pStyle w:val="Normal"/>
        <w:rPr/>
      </w:pPr>
      <w:r>
        <w:rPr/>
        <w:t>The TPUC established a schedule for each of the Investor-Owned Utilities to provide for separation of their business.  SB7 requires each IOU to separate into a Power Generation Company, a Retail electric Provider, and a Transmission and Distribution utility.  In addition, the IOU’s were required to submit their proposed delivery rates including a Competition Transition Charge (CTC) designed to recover any stranded costs associated with the IOU’s generation assets (Non-Bypassable wires Charges).</w:t>
      </w:r>
    </w:p>
    <w:p>
      <w:pPr>
        <w:pStyle w:val="Normal"/>
        <w:rPr/>
      </w:pPr>
      <w:r>
        <w:rPr/>
      </w:r>
    </w:p>
    <w:p>
      <w:pPr>
        <w:pStyle w:val="Style11"/>
        <w:ind w:hanging="0" w:end="0"/>
        <w:rPr/>
      </w:pPr>
      <w:r>
        <w:rPr/>
        <w:t xml:space="preserve">Senate Bill 7 allows utilities with stranded costs to file an estimate of these costs and begin recovering them through a non-bypassable wires charge.  Utilities with positive stranded costs included estimates in their March 2000 filings to set their Non-Bypassable Wires Charges.  In these cases, the Commission will consider the estimated stranded costs and, if appropriate, set rates for their recovery.   SB7 also permits utilities to securitize stranded costs and regulatory assets, and the Commission has approved applications of three utilities to securitize regulatory assets. </w:t>
      </w:r>
    </w:p>
    <w:p>
      <w:pPr>
        <w:pStyle w:val="Style11"/>
        <w:ind w:hanging="0" w:end="0"/>
        <w:rPr/>
      </w:pPr>
      <w:r>
        <w:rPr>
          <w:b/>
        </w:rPr>
        <w:t xml:space="preserve">Central Power &amp; Light. </w:t>
      </w:r>
      <w:r>
        <w:rPr/>
        <w:t xml:space="preserve"> The Commission approved a request by Central Power and Light Company (CPL) to securitize $764 million of regulatory assets plus transaction costs.  Securitization will save CP&amp;L’s electric customers at least $90 million over the next 12 years.  Several parties filed requests for judicial review of the Commission’s financing order.  The District Court upheld the order, and several parties have filed appeals to the Texas Supreme Court, as is permitted in PURA § 39.303.  The Supreme Court heard oral arguments in this case on November 29, 2000</w:t>
      </w:r>
      <w:r>
        <w:rPr>
          <w:b/>
        </w:rPr>
        <w:t xml:space="preserve">.  </w:t>
      </w:r>
      <w:r>
        <w:rPr/>
        <w:t>The Supreme Court affirmed the District Court ruling which generally reflects the Commission’s final order.</w:t>
      </w:r>
      <w:r>
        <w:rPr>
          <w:b/>
        </w:rPr>
        <w:t xml:space="preserve"> </w:t>
      </w:r>
      <w:r>
        <w:rPr>
          <w:bCs/>
        </w:rPr>
        <w:t>CP&amp;L has filed their TCRF (Transmission Cost Recovery Factor) and is awaiting Staff review and PUCT approval.  These factors will adjust annually based upon allowed</w:t>
      </w:r>
      <w:r>
        <w:rPr>
          <w:b/>
        </w:rPr>
        <w:t xml:space="preserve"> </w:t>
      </w:r>
      <w:r>
        <w:rPr>
          <w:bCs/>
        </w:rPr>
        <w:t>transmission-related expenditures.</w:t>
      </w:r>
    </w:p>
    <w:p>
      <w:pPr>
        <w:pStyle w:val="Style11"/>
        <w:ind w:hanging="0" w:end="0"/>
        <w:rPr/>
      </w:pPr>
      <w:r>
        <w:rPr>
          <w:b/>
        </w:rPr>
        <w:t xml:space="preserve">TXU Electric.  </w:t>
      </w:r>
      <w:r>
        <w:rPr/>
        <w:t>The Commission approved a request by TXU Electric Company (TXU) to securitize $363 million of regulatory assets.  TXU requested to securitize a much larger amount, $1.650 billion.  The Commission concluded that the securitization of this larger amount would not meet the statutory standard, because it would not provide tangible and quantifiable benefits to customers.  The securitization plan approved by the Commission would save TXU’s electric customers least $60 million over the next 12 years.  TXU filed an appeal in District Court challenging the decision to approve the securitization of less than the full amount of its request.  After the District Court upheld the Commission’s decision, TXU and other parties appealed the decision to the Texas Supreme Court.  The Supreme Court has remanded the case to the PUCT requiring the Commission to establish the appropriate amount of regulatory assets to be securitized.  The result will likely be approximately a $1.0 billion increase in the nonbypassable wires charge recovery amounts. Reliant has filed their TCRF (Transmission Cost Recovery Factor) and is awaiting Staff review and PUCT approval.  These factors will adjust annually based upon allowed transmission-related expenditures</w:t>
      </w:r>
    </w:p>
    <w:p>
      <w:pPr>
        <w:pStyle w:val="Style11"/>
        <w:ind w:hanging="0" w:end="0"/>
        <w:rPr/>
      </w:pPr>
      <w:r>
        <w:rPr>
          <w:b/>
        </w:rPr>
        <w:t xml:space="preserve">Reliant Energy. </w:t>
      </w:r>
      <w:r>
        <w:rPr/>
        <w:t xml:space="preserve"> The Commission approved a request by Reliant Energy HL&amp;P to securitize $740 million of regulatory assets plus transaction costs.  Securitization will save Reliant’s electric customers at least $350 million over the next 12 years.  </w:t>
      </w:r>
      <w:r>
        <w:rPr>
          <w:bCs/>
        </w:rPr>
        <w:t>Reliant has filed their TCRF (Transmission Cost Recovery Factor) and is awaiting Staff review and PUCT approval.  These factors will adjust annually based upon allowed transmission-related expenditures</w:t>
      </w:r>
    </w:p>
    <w:p>
      <w:pPr>
        <w:pStyle w:val="Style11"/>
        <w:ind w:hanging="0" w:end="0"/>
        <w:rPr/>
      </w:pPr>
      <w:r>
        <w:rPr/>
        <w:t>The following table shows the TPUC’s progress in conducting the major cases that are required to implement SB 7.</w:t>
      </w:r>
    </w:p>
    <w:tbl>
      <w:tblPr>
        <w:tblW w:w="14026" w:type="dxa"/>
        <w:jc w:val="start"/>
        <w:tblInd w:w="0" w:type="dxa"/>
        <w:tblLayout w:type="fixed"/>
        <w:tblCellMar>
          <w:top w:w="0" w:type="dxa"/>
          <w:start w:w="30" w:type="dxa"/>
          <w:bottom w:w="0" w:type="dxa"/>
          <w:end w:w="30" w:type="dxa"/>
        </w:tblCellMar>
      </w:tblPr>
      <w:tblGrid>
        <w:gridCol w:w="2880"/>
        <w:gridCol w:w="1080"/>
        <w:gridCol w:w="1123"/>
        <w:gridCol w:w="1109"/>
        <w:gridCol w:w="1109"/>
        <w:gridCol w:w="1121"/>
        <w:gridCol w:w="1120"/>
        <w:gridCol w:w="1121"/>
        <w:gridCol w:w="1121"/>
        <w:gridCol w:w="1121"/>
        <w:gridCol w:w="1121"/>
      </w:tblGrid>
      <w:tr>
        <w:trPr>
          <w:trHeight w:val="247" w:hRule="atLeast"/>
        </w:trPr>
        <w:tc>
          <w:tcPr>
            <w:tcW w:w="2880" w:type="dxa"/>
            <w:tcBorders>
              <w:top w:val="single" w:sz="12" w:space="0" w:color="000000"/>
              <w:start w:val="single" w:sz="12" w:space="0" w:color="000000"/>
              <w:bottom w:val="single" w:sz="2" w:space="0" w:color="000000"/>
              <w:end w:val="single" w:sz="2" w:space="0" w:color="000000"/>
            </w:tcBorders>
            <w:shd w:fill="7FFFFF" w:val="clear"/>
          </w:tcPr>
          <w:p>
            <w:pPr>
              <w:pStyle w:val="Normal"/>
              <w:snapToGrid w:val="false"/>
              <w:jc w:val="end"/>
              <w:rPr>
                <w:rFonts w:ascii="Arial" w:hAnsi="Arial" w:cs="Arial"/>
                <w:color w:val="000000"/>
              </w:rPr>
            </w:pPr>
            <w:r>
              <w:rPr>
                <w:rFonts w:cs="Arial" w:ascii="Arial" w:hAnsi="Arial"/>
                <w:color w:val="000000"/>
              </w:rPr>
            </w:r>
          </w:p>
        </w:tc>
        <w:tc>
          <w:tcPr>
            <w:tcW w:w="1080" w:type="dxa"/>
            <w:tcBorders>
              <w:top w:val="single" w:sz="12" w:space="0" w:color="000000"/>
              <w:start w:val="single" w:sz="2" w:space="0" w:color="000000"/>
              <w:bottom w:val="single" w:sz="2" w:space="0" w:color="000000"/>
              <w:end w:val="single" w:sz="2" w:space="0" w:color="000000"/>
            </w:tcBorders>
            <w:shd w:fill="7FFFFF" w:val="clear"/>
          </w:tcPr>
          <w:p>
            <w:pPr>
              <w:pStyle w:val="Normal"/>
              <w:spacing w:before="40" w:after="0"/>
              <w:jc w:val="center"/>
              <w:rPr>
                <w:rFonts w:ascii="Arial" w:hAnsi="Arial" w:cs="Arial"/>
                <w:b/>
                <w:color w:val="000000"/>
              </w:rPr>
            </w:pPr>
            <w:r>
              <w:rPr>
                <w:rFonts w:cs="Arial" w:ascii="Arial" w:hAnsi="Arial"/>
                <w:b/>
                <w:color w:val="000000"/>
              </w:rPr>
              <w:t>3Q 1999</w:t>
            </w:r>
          </w:p>
        </w:tc>
        <w:tc>
          <w:tcPr>
            <w:tcW w:w="1123" w:type="dxa"/>
            <w:tcBorders>
              <w:top w:val="single" w:sz="12" w:space="0" w:color="000000"/>
              <w:start w:val="single" w:sz="2" w:space="0" w:color="000000"/>
              <w:bottom w:val="single" w:sz="2" w:space="0" w:color="000000"/>
              <w:end w:val="single" w:sz="2" w:space="0" w:color="000000"/>
            </w:tcBorders>
            <w:shd w:fill="7FFFFF" w:val="clear"/>
          </w:tcPr>
          <w:p>
            <w:pPr>
              <w:pStyle w:val="Normal"/>
              <w:spacing w:before="40" w:after="0"/>
              <w:jc w:val="center"/>
              <w:rPr>
                <w:rFonts w:ascii="Arial" w:hAnsi="Arial" w:cs="Arial"/>
                <w:b/>
                <w:color w:val="000000"/>
              </w:rPr>
            </w:pPr>
            <w:r>
              <w:rPr>
                <w:rFonts w:cs="Arial" w:ascii="Arial" w:hAnsi="Arial"/>
                <w:b/>
                <w:color w:val="000000"/>
              </w:rPr>
              <w:t>4Q 1999</w:t>
            </w:r>
          </w:p>
        </w:tc>
        <w:tc>
          <w:tcPr>
            <w:tcW w:w="1109" w:type="dxa"/>
            <w:tcBorders>
              <w:top w:val="single" w:sz="12" w:space="0" w:color="000000"/>
              <w:start w:val="single" w:sz="2" w:space="0" w:color="000000"/>
              <w:bottom w:val="single" w:sz="2" w:space="0" w:color="000000"/>
              <w:end w:val="single" w:sz="2" w:space="0" w:color="000000"/>
            </w:tcBorders>
            <w:shd w:fill="7FFFFF" w:val="clear"/>
          </w:tcPr>
          <w:p>
            <w:pPr>
              <w:pStyle w:val="Normal"/>
              <w:spacing w:before="40" w:after="0"/>
              <w:jc w:val="center"/>
              <w:rPr>
                <w:rFonts w:ascii="Arial" w:hAnsi="Arial" w:cs="Arial"/>
                <w:b/>
                <w:color w:val="000000"/>
              </w:rPr>
            </w:pPr>
            <w:r>
              <w:rPr>
                <w:rFonts w:cs="Arial" w:ascii="Arial" w:hAnsi="Arial"/>
                <w:b/>
                <w:color w:val="000000"/>
              </w:rPr>
              <w:t>1Q  2000</w:t>
            </w:r>
          </w:p>
        </w:tc>
        <w:tc>
          <w:tcPr>
            <w:tcW w:w="1109" w:type="dxa"/>
            <w:tcBorders>
              <w:top w:val="single" w:sz="12" w:space="0" w:color="000000"/>
              <w:start w:val="single" w:sz="2" w:space="0" w:color="000000"/>
              <w:bottom w:val="single" w:sz="2" w:space="0" w:color="000000"/>
              <w:end w:val="single" w:sz="2" w:space="0" w:color="000000"/>
            </w:tcBorders>
            <w:shd w:fill="7FFFFF" w:val="clear"/>
          </w:tcPr>
          <w:p>
            <w:pPr>
              <w:pStyle w:val="Normal"/>
              <w:spacing w:before="40" w:after="0"/>
              <w:jc w:val="center"/>
              <w:rPr>
                <w:rFonts w:ascii="Arial" w:hAnsi="Arial" w:cs="Arial"/>
                <w:b/>
                <w:color w:val="000000"/>
              </w:rPr>
            </w:pPr>
            <w:r>
              <w:rPr>
                <w:rFonts w:cs="Arial" w:ascii="Arial" w:hAnsi="Arial"/>
                <w:b/>
                <w:color w:val="000000"/>
              </w:rPr>
              <w:t>2Q  2000</w:t>
            </w:r>
          </w:p>
        </w:tc>
        <w:tc>
          <w:tcPr>
            <w:tcW w:w="1121" w:type="dxa"/>
            <w:tcBorders>
              <w:top w:val="single" w:sz="12" w:space="0" w:color="000000"/>
              <w:start w:val="single" w:sz="2" w:space="0" w:color="000000"/>
              <w:bottom w:val="single" w:sz="2" w:space="0" w:color="000000"/>
              <w:end w:val="single" w:sz="2" w:space="0" w:color="000000"/>
            </w:tcBorders>
            <w:shd w:fill="7FFFFF" w:val="clear"/>
          </w:tcPr>
          <w:p>
            <w:pPr>
              <w:pStyle w:val="Normal"/>
              <w:spacing w:before="40" w:after="0"/>
              <w:jc w:val="center"/>
              <w:rPr>
                <w:rFonts w:ascii="Arial" w:hAnsi="Arial" w:cs="Arial"/>
                <w:b/>
                <w:color w:val="000000"/>
              </w:rPr>
            </w:pPr>
            <w:r>
              <w:rPr>
                <w:rFonts w:cs="Arial" w:ascii="Arial" w:hAnsi="Arial"/>
                <w:b/>
                <w:color w:val="000000"/>
              </w:rPr>
              <w:t>3Q  2000</w:t>
            </w:r>
          </w:p>
        </w:tc>
        <w:tc>
          <w:tcPr>
            <w:tcW w:w="1120" w:type="dxa"/>
            <w:tcBorders>
              <w:top w:val="single" w:sz="12" w:space="0" w:color="000000"/>
              <w:start w:val="single" w:sz="2" w:space="0" w:color="000000"/>
              <w:bottom w:val="single" w:sz="2" w:space="0" w:color="000000"/>
              <w:end w:val="single" w:sz="2" w:space="0" w:color="000000"/>
            </w:tcBorders>
            <w:shd w:fill="7FFFFF" w:val="clear"/>
          </w:tcPr>
          <w:p>
            <w:pPr>
              <w:pStyle w:val="Normal"/>
              <w:spacing w:before="40" w:after="0"/>
              <w:jc w:val="center"/>
              <w:rPr>
                <w:rFonts w:ascii="Arial" w:hAnsi="Arial" w:cs="Arial"/>
                <w:b/>
                <w:color w:val="000000"/>
              </w:rPr>
            </w:pPr>
            <w:r>
              <w:rPr>
                <w:rFonts w:cs="Arial" w:ascii="Arial" w:hAnsi="Arial"/>
                <w:b/>
                <w:color w:val="000000"/>
              </w:rPr>
              <w:t>4Q  2000</w:t>
            </w:r>
          </w:p>
        </w:tc>
        <w:tc>
          <w:tcPr>
            <w:tcW w:w="1121" w:type="dxa"/>
            <w:tcBorders>
              <w:top w:val="single" w:sz="12" w:space="0" w:color="000000"/>
              <w:start w:val="single" w:sz="2" w:space="0" w:color="000000"/>
              <w:bottom w:val="single" w:sz="2" w:space="0" w:color="000000"/>
              <w:end w:val="single" w:sz="2" w:space="0" w:color="000000"/>
            </w:tcBorders>
            <w:shd w:fill="7FFFFF" w:val="clear"/>
          </w:tcPr>
          <w:p>
            <w:pPr>
              <w:pStyle w:val="Normal"/>
              <w:spacing w:before="40" w:after="0"/>
              <w:jc w:val="center"/>
              <w:rPr>
                <w:rFonts w:ascii="Arial" w:hAnsi="Arial" w:cs="Arial"/>
                <w:b/>
                <w:color w:val="000000"/>
              </w:rPr>
            </w:pPr>
            <w:r>
              <w:rPr>
                <w:rFonts w:cs="Arial" w:ascii="Arial" w:hAnsi="Arial"/>
                <w:b/>
                <w:color w:val="000000"/>
              </w:rPr>
              <w:t>1Q  2001</w:t>
            </w:r>
          </w:p>
        </w:tc>
        <w:tc>
          <w:tcPr>
            <w:tcW w:w="1121" w:type="dxa"/>
            <w:tcBorders>
              <w:top w:val="single" w:sz="12" w:space="0" w:color="000000"/>
              <w:start w:val="single" w:sz="2" w:space="0" w:color="000000"/>
              <w:bottom w:val="single" w:sz="2" w:space="0" w:color="000000"/>
              <w:end w:val="single" w:sz="2" w:space="0" w:color="000000"/>
            </w:tcBorders>
            <w:shd w:fill="7FFFFF" w:val="clear"/>
          </w:tcPr>
          <w:p>
            <w:pPr>
              <w:pStyle w:val="Normal"/>
              <w:spacing w:before="40" w:after="0"/>
              <w:jc w:val="center"/>
              <w:rPr>
                <w:rFonts w:ascii="Arial" w:hAnsi="Arial" w:cs="Arial"/>
                <w:b/>
                <w:color w:val="000000"/>
              </w:rPr>
            </w:pPr>
            <w:r>
              <w:rPr>
                <w:rFonts w:cs="Arial" w:ascii="Arial" w:hAnsi="Arial"/>
                <w:b/>
                <w:color w:val="000000"/>
              </w:rPr>
              <w:t>2Q  2001</w:t>
            </w:r>
          </w:p>
        </w:tc>
        <w:tc>
          <w:tcPr>
            <w:tcW w:w="1121" w:type="dxa"/>
            <w:tcBorders>
              <w:top w:val="single" w:sz="12" w:space="0" w:color="000000"/>
              <w:start w:val="single" w:sz="2" w:space="0" w:color="000000"/>
              <w:end w:val="single" w:sz="2" w:space="0" w:color="000000"/>
            </w:tcBorders>
            <w:shd w:fill="7FFFFF" w:val="clear"/>
          </w:tcPr>
          <w:p>
            <w:pPr>
              <w:pStyle w:val="Normal"/>
              <w:spacing w:before="40" w:after="0"/>
              <w:jc w:val="center"/>
              <w:rPr>
                <w:rFonts w:ascii="Arial" w:hAnsi="Arial" w:cs="Arial"/>
                <w:b/>
                <w:color w:val="000000"/>
              </w:rPr>
            </w:pPr>
            <w:r>
              <w:rPr>
                <w:rFonts w:cs="Arial" w:ascii="Arial" w:hAnsi="Arial"/>
                <w:b/>
                <w:color w:val="000000"/>
              </w:rPr>
              <w:t>3Q  2001</w:t>
            </w:r>
          </w:p>
        </w:tc>
        <w:tc>
          <w:tcPr>
            <w:tcW w:w="1121" w:type="dxa"/>
            <w:tcBorders>
              <w:top w:val="single" w:sz="12" w:space="0" w:color="000000"/>
              <w:start w:val="single" w:sz="2" w:space="0" w:color="000000"/>
              <w:bottom w:val="single" w:sz="2" w:space="0" w:color="000000"/>
              <w:end w:val="single" w:sz="12" w:space="0" w:color="000000"/>
            </w:tcBorders>
            <w:shd w:fill="7FFFFF" w:val="clear"/>
          </w:tcPr>
          <w:p>
            <w:pPr>
              <w:pStyle w:val="Normal"/>
              <w:spacing w:before="40" w:after="0"/>
              <w:jc w:val="center"/>
              <w:rPr>
                <w:rFonts w:ascii="Arial" w:hAnsi="Arial" w:cs="Arial"/>
                <w:b/>
                <w:color w:val="000000"/>
              </w:rPr>
            </w:pPr>
            <w:r>
              <w:rPr>
                <w:rFonts w:cs="Arial" w:ascii="Arial" w:hAnsi="Arial"/>
                <w:b/>
                <w:color w:val="000000"/>
              </w:rPr>
              <w:t>4Q  2001</w:t>
            </w:r>
          </w:p>
        </w:tc>
      </w:tr>
      <w:tr>
        <w:trPr>
          <w:trHeight w:val="305" w:hRule="atLeast"/>
        </w:trPr>
        <w:tc>
          <w:tcPr>
            <w:tcW w:w="2880" w:type="dxa"/>
            <w:tcBorders>
              <w:top w:val="single" w:sz="2" w:space="0" w:color="000000"/>
              <w:start w:val="single" w:sz="12" w:space="0" w:color="000000"/>
              <w:bottom w:val="single" w:sz="2" w:space="0" w:color="000000"/>
            </w:tcBorders>
          </w:tcPr>
          <w:p>
            <w:pPr>
              <w:pStyle w:val="Normal"/>
              <w:rPr>
                <w:rFonts w:ascii="Arial" w:hAnsi="Arial" w:cs="Arial"/>
                <w:b/>
                <w:color w:val="000000"/>
              </w:rPr>
            </w:pPr>
            <w:r>
              <w:rPr>
                <w:rFonts w:cs="Arial" w:ascii="Arial" w:hAnsi="Arial"/>
                <w:b/>
                <w:color w:val="000000"/>
              </w:rPr>
              <w:t>Proceedings</w:t>
            </w:r>
          </w:p>
        </w:tc>
        <w:tc>
          <w:tcPr>
            <w:tcW w:w="108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b/>
                <w:color w:val="000000"/>
                <w:sz w:val="18"/>
              </w:rPr>
            </w:pPr>
            <w:r>
              <w:rPr>
                <w:rFonts w:cs="Arial" w:ascii="Arial" w:hAnsi="Arial"/>
                <w:b/>
                <w:color w:val="000000"/>
                <w:sz w:val="18"/>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0" w:type="dxa"/>
            <w:tcBorders>
              <w:top w:val="single" w:sz="2" w:space="0" w:color="000000"/>
              <w:start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bottom w:val="single" w:sz="2" w:space="0" w:color="000000"/>
              <w:end w:val="single" w:sz="1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r>
      <w:tr>
        <w:trPr>
          <w:trHeight w:val="348" w:hRule="atLeast"/>
        </w:trPr>
        <w:tc>
          <w:tcPr>
            <w:tcW w:w="2880" w:type="dxa"/>
            <w:tcBorders>
              <w:top w:val="single" w:sz="2" w:space="0" w:color="000000"/>
              <w:start w:val="single" w:sz="12" w:space="0" w:color="000000"/>
              <w:bottom w:val="single" w:sz="2" w:space="0" w:color="000000"/>
              <w:end w:val="single" w:sz="2" w:space="0" w:color="000000"/>
            </w:tcBorders>
          </w:tcPr>
          <w:p>
            <w:pPr>
              <w:pStyle w:val="Heading6"/>
              <w:spacing w:before="60" w:after="0"/>
              <w:ind w:hanging="0" w:start="0"/>
              <w:rPr/>
            </w:pPr>
            <w:r>
              <w:rPr/>
              <w:t>Initial Securitization</w:t>
            </w:r>
          </w:p>
        </w:tc>
        <w:tc>
          <w:tcPr>
            <w:tcW w:w="108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r>
      <w:tr>
        <w:trPr>
          <w:trHeight w:val="271" w:hRule="atLeast"/>
        </w:trPr>
        <w:tc>
          <w:tcPr>
            <w:tcW w:w="2880" w:type="dxa"/>
            <w:tcBorders>
              <w:top w:val="single" w:sz="2" w:space="0" w:color="000000"/>
              <w:start w:val="single" w:sz="12" w:space="0" w:color="000000"/>
              <w:bottom w:val="single" w:sz="2" w:space="0" w:color="000000"/>
              <w:end w:val="single" w:sz="2" w:space="0" w:color="000000"/>
            </w:tcBorders>
          </w:tcPr>
          <w:p>
            <w:pPr>
              <w:pStyle w:val="Normal"/>
              <w:spacing w:before="40" w:after="0"/>
              <w:rPr>
                <w:rFonts w:ascii="Arial" w:hAnsi="Arial" w:cs="Arial"/>
                <w:color w:val="000000"/>
              </w:rPr>
            </w:pPr>
            <w:r>
              <w:rPr>
                <w:rFonts w:cs="Arial" w:ascii="Arial" w:hAnsi="Arial"/>
                <w:color w:val="000000"/>
              </w:rPr>
              <w:t>Central Power &amp; Light</w:t>
            </w:r>
          </w:p>
        </w:tc>
        <w:tc>
          <w:tcPr>
            <w:tcW w:w="1080" w:type="dxa"/>
            <w:tcBorders>
              <w:top w:val="single" w:sz="2" w:space="0" w:color="000000"/>
              <w:start w:val="single" w:sz="2" w:space="0" w:color="000000"/>
              <w:bottom w:val="single" w:sz="2" w:space="0" w:color="000000"/>
              <w:end w:val="single" w:sz="2" w:space="0" w:color="000000"/>
            </w:tcBorders>
          </w:tcPr>
          <w:p>
            <w:pPr>
              <w:pStyle w:val="Normal"/>
              <w:snapToGrid w:val="false"/>
              <w:spacing w:before="40" w:after="0"/>
              <w:rPr>
                <w:rFonts w:ascii="Arial" w:hAnsi="Arial" w:cs="Arial"/>
                <w:color w:val="000000"/>
                <w:sz w:val="18"/>
              </w:rPr>
            </w:pPr>
            <w:r>
              <w:rPr>
                <w:rFonts w:cs="Arial" w:ascii="Arial" w:hAnsi="Arial"/>
                <w:color w:val="000000"/>
                <w:sz w:val="18"/>
              </w:rPr>
            </w:r>
          </w:p>
        </w:tc>
        <w:tc>
          <w:tcPr>
            <w:tcW w:w="1123"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40" w:after="0"/>
              <w:ind w:start="288" w:end="0"/>
              <w:rPr>
                <w:rFonts w:ascii="Arial" w:hAnsi="Arial" w:cs="Arial"/>
                <w:color w:val="000000"/>
                <w:sz w:val="18"/>
              </w:rPr>
            </w:pPr>
            <w:r>
              <w:rPr>
                <w:rFonts w:cs="Arial" w:ascii="Arial" w:hAnsi="Arial"/>
                <w:color w:val="000000"/>
                <w:sz w:val="18"/>
              </w:rPr>
              <w:t>Filed</w:t>
            </w:r>
          </w:p>
        </w:tc>
        <w:tc>
          <w:tcPr>
            <w:tcW w:w="1109"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40" w:after="0"/>
              <w:jc w:val="center"/>
              <w:rPr>
                <w:rFonts w:ascii="Arial" w:hAnsi="Arial" w:cs="Arial"/>
                <w:color w:val="000000"/>
                <w:sz w:val="18"/>
              </w:rPr>
            </w:pPr>
            <w:r>
              <w:rPr>
                <w:rFonts w:cs="Arial" w:ascii="Arial" w:hAnsi="Arial"/>
                <w:color w:val="000000"/>
                <w:sz w:val="18"/>
              </w:rPr>
              <w:t>Completed</w:t>
            </w:r>
          </w:p>
        </w:tc>
        <w:tc>
          <w:tcPr>
            <w:tcW w:w="1109" w:type="dxa"/>
            <w:tcBorders>
              <w:top w:val="single" w:sz="2" w:space="0" w:color="000000"/>
              <w:start w:val="single" w:sz="2" w:space="0" w:color="000000"/>
              <w:bottom w:val="single" w:sz="2" w:space="0" w:color="000000"/>
              <w:end w:val="single" w:sz="2" w:space="0" w:color="000000"/>
            </w:tcBorders>
          </w:tcPr>
          <w:p>
            <w:pPr>
              <w:pStyle w:val="Normal"/>
              <w:snapToGrid w:val="false"/>
              <w:spacing w:before="40" w:after="0"/>
              <w:jc w:val="center"/>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0"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r>
      <w:tr>
        <w:trPr>
          <w:trHeight w:val="271" w:hRule="atLeast"/>
        </w:trPr>
        <w:tc>
          <w:tcPr>
            <w:tcW w:w="2880" w:type="dxa"/>
            <w:tcBorders>
              <w:top w:val="single" w:sz="2" w:space="0" w:color="000000"/>
              <w:start w:val="single" w:sz="12" w:space="0" w:color="000000"/>
              <w:bottom w:val="single" w:sz="2" w:space="0" w:color="000000"/>
              <w:end w:val="single" w:sz="2" w:space="0" w:color="000000"/>
            </w:tcBorders>
          </w:tcPr>
          <w:p>
            <w:pPr>
              <w:pStyle w:val="Normal"/>
              <w:spacing w:before="40" w:after="0"/>
              <w:rPr>
                <w:rFonts w:ascii="Arial" w:hAnsi="Arial" w:cs="Arial"/>
                <w:color w:val="000000"/>
              </w:rPr>
            </w:pPr>
            <w:r>
              <w:rPr>
                <w:rFonts w:cs="Arial" w:ascii="Arial" w:hAnsi="Arial"/>
                <w:color w:val="000000"/>
              </w:rPr>
              <w:t>Reliant</w:t>
            </w:r>
          </w:p>
        </w:tc>
        <w:tc>
          <w:tcPr>
            <w:tcW w:w="1080" w:type="dxa"/>
            <w:tcBorders>
              <w:top w:val="single" w:sz="2" w:space="0" w:color="000000"/>
              <w:start w:val="single" w:sz="2" w:space="0" w:color="000000"/>
              <w:bottom w:val="single" w:sz="2" w:space="0" w:color="000000"/>
              <w:end w:val="single" w:sz="2" w:space="0" w:color="000000"/>
            </w:tcBorders>
          </w:tcPr>
          <w:p>
            <w:pPr>
              <w:pStyle w:val="Normal"/>
              <w:snapToGrid w:val="false"/>
              <w:spacing w:before="40" w:after="0"/>
              <w:rPr>
                <w:rFonts w:ascii="Arial" w:hAnsi="Arial" w:cs="Arial"/>
                <w:color w:val="000000"/>
                <w:sz w:val="18"/>
              </w:rPr>
            </w:pPr>
            <w:r>
              <w:rPr>
                <w:rFonts w:cs="Arial" w:ascii="Arial" w:hAnsi="Arial"/>
                <w:color w:val="000000"/>
                <w:sz w:val="18"/>
              </w:rPr>
            </w:r>
          </w:p>
        </w:tc>
        <w:tc>
          <w:tcPr>
            <w:tcW w:w="1123"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40" w:after="0"/>
              <w:ind w:start="288" w:end="0"/>
              <w:rPr>
                <w:rFonts w:ascii="Arial" w:hAnsi="Arial" w:cs="Arial"/>
                <w:color w:val="000000"/>
                <w:sz w:val="18"/>
              </w:rPr>
            </w:pPr>
            <w:r>
              <w:rPr>
                <w:rFonts w:cs="Arial" w:ascii="Arial" w:hAnsi="Arial"/>
                <w:color w:val="000000"/>
                <w:sz w:val="18"/>
              </w:rPr>
              <w:t>Filed</w:t>
            </w:r>
          </w:p>
        </w:tc>
        <w:tc>
          <w:tcPr>
            <w:tcW w:w="1109" w:type="dxa"/>
            <w:tcBorders/>
            <w:shd w:fill="00FFFF" w:val="clear"/>
          </w:tcPr>
          <w:p>
            <w:pPr>
              <w:pStyle w:val="Normal"/>
              <w:snapToGrid w:val="false"/>
              <w:spacing w:before="40" w:after="0"/>
              <w:jc w:val="center"/>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40" w:after="0"/>
              <w:jc w:val="center"/>
              <w:rPr>
                <w:rFonts w:ascii="Arial" w:hAnsi="Arial" w:cs="Arial"/>
                <w:color w:val="000000"/>
                <w:sz w:val="18"/>
              </w:rPr>
            </w:pPr>
            <w:r>
              <w:rPr>
                <w:rFonts w:cs="Arial" w:ascii="Arial" w:hAnsi="Arial"/>
                <w:color w:val="000000"/>
                <w:sz w:val="18"/>
              </w:rPr>
              <w:t>Completed</w:t>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0"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r>
      <w:tr>
        <w:trPr>
          <w:trHeight w:val="271" w:hRule="atLeast"/>
        </w:trPr>
        <w:tc>
          <w:tcPr>
            <w:tcW w:w="2880" w:type="dxa"/>
            <w:tcBorders>
              <w:top w:val="single" w:sz="2" w:space="0" w:color="000000"/>
              <w:start w:val="single" w:sz="12" w:space="0" w:color="000000"/>
              <w:end w:val="single" w:sz="2" w:space="0" w:color="000000"/>
            </w:tcBorders>
          </w:tcPr>
          <w:p>
            <w:pPr>
              <w:pStyle w:val="Normal"/>
              <w:spacing w:before="40" w:after="0"/>
              <w:rPr>
                <w:rFonts w:ascii="Arial" w:hAnsi="Arial" w:cs="Arial"/>
                <w:color w:val="000000"/>
              </w:rPr>
            </w:pPr>
            <w:r>
              <w:rPr>
                <w:rFonts w:cs="Arial" w:ascii="Arial" w:hAnsi="Arial"/>
                <w:color w:val="000000"/>
              </w:rPr>
              <w:t>TXU</w:t>
            </w:r>
          </w:p>
        </w:tc>
        <w:tc>
          <w:tcPr>
            <w:tcW w:w="1080" w:type="dxa"/>
            <w:tcBorders/>
          </w:tcPr>
          <w:p>
            <w:pPr>
              <w:pStyle w:val="Normal"/>
              <w:snapToGrid w:val="false"/>
              <w:spacing w:before="40" w:after="0"/>
              <w:jc w:val="end"/>
              <w:rPr>
                <w:rFonts w:ascii="Arial" w:hAnsi="Arial" w:cs="Arial"/>
                <w:color w:val="000000"/>
                <w:sz w:val="18"/>
              </w:rPr>
            </w:pPr>
            <w:r>
              <w:rPr>
                <w:rFonts w:cs="Arial" w:ascii="Arial" w:hAnsi="Arial"/>
                <w:color w:val="000000"/>
                <w:sz w:val="18"/>
              </w:rPr>
            </w:r>
          </w:p>
        </w:tc>
        <w:tc>
          <w:tcPr>
            <w:tcW w:w="1123" w:type="dxa"/>
            <w:tcBorders>
              <w:top w:val="single" w:sz="2" w:space="0" w:color="000000"/>
              <w:start w:val="single" w:sz="2" w:space="0" w:color="000000"/>
              <w:end w:val="single" w:sz="2" w:space="0" w:color="000000"/>
            </w:tcBorders>
            <w:shd w:fill="00FFFF" w:val="clear"/>
          </w:tcPr>
          <w:p>
            <w:pPr>
              <w:pStyle w:val="Normal"/>
              <w:spacing w:before="40" w:after="0"/>
              <w:ind w:start="288" w:end="0"/>
              <w:rPr>
                <w:rFonts w:ascii="Arial" w:hAnsi="Arial" w:cs="Arial"/>
                <w:color w:val="000000"/>
                <w:sz w:val="18"/>
              </w:rPr>
            </w:pPr>
            <w:r>
              <w:rPr>
                <w:rFonts w:cs="Arial" w:ascii="Arial" w:hAnsi="Arial"/>
                <w:color w:val="000000"/>
                <w:sz w:val="18"/>
              </w:rPr>
              <w:t>Filed</w:t>
            </w:r>
          </w:p>
        </w:tc>
        <w:tc>
          <w:tcPr>
            <w:tcW w:w="1109" w:type="dxa"/>
            <w:tcBorders>
              <w:top w:val="single" w:sz="2" w:space="0" w:color="000000"/>
              <w:start w:val="single" w:sz="2" w:space="0" w:color="000000"/>
              <w:end w:val="single" w:sz="2" w:space="0" w:color="000000"/>
            </w:tcBorders>
            <w:shd w:fill="00FFFF" w:val="clear"/>
          </w:tcPr>
          <w:p>
            <w:pPr>
              <w:pStyle w:val="Normal"/>
              <w:snapToGrid w:val="false"/>
              <w:spacing w:before="40" w:after="0"/>
              <w:jc w:val="center"/>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end w:val="single" w:sz="2" w:space="0" w:color="000000"/>
            </w:tcBorders>
            <w:shd w:fill="00FFFF" w:val="clear"/>
          </w:tcPr>
          <w:p>
            <w:pPr>
              <w:pStyle w:val="Normal"/>
              <w:spacing w:before="40" w:after="0"/>
              <w:jc w:val="center"/>
              <w:rPr>
                <w:rFonts w:ascii="Arial" w:hAnsi="Arial" w:cs="Arial"/>
                <w:color w:val="000000"/>
                <w:sz w:val="18"/>
              </w:rPr>
            </w:pPr>
            <w:r>
              <w:rPr>
                <w:rFonts w:cs="Arial" w:ascii="Arial" w:hAnsi="Arial"/>
                <w:color w:val="000000"/>
                <w:sz w:val="18"/>
              </w:rPr>
              <w:t>Completed</w:t>
            </w:r>
          </w:p>
        </w:tc>
        <w:tc>
          <w:tcPr>
            <w:tcW w:w="1121" w:type="dxa"/>
            <w:tcBorders>
              <w:top w:val="single" w:sz="2" w:space="0" w:color="000000"/>
              <w:start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0" w:type="dxa"/>
            <w:tcBorders>
              <w:top w:val="single" w:sz="2" w:space="0" w:color="000000"/>
              <w:start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end w:val="single" w:sz="1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r>
      <w:tr>
        <w:trPr>
          <w:trHeight w:val="50" w:hRule="exact"/>
        </w:trPr>
        <w:tc>
          <w:tcPr>
            <w:tcW w:w="2880" w:type="dxa"/>
            <w:tcBorders>
              <w:top w:val="single" w:sz="12" w:space="0" w:color="000000"/>
              <w:start w:val="single" w:sz="12" w:space="0" w:color="000000"/>
              <w:bottom w:val="single" w:sz="2" w:space="0" w:color="000000"/>
              <w:end w:val="single" w:sz="2" w:space="0" w:color="000000"/>
            </w:tcBorders>
            <w:shd w:fill="7FFFFF" w:val="clear"/>
          </w:tcPr>
          <w:p>
            <w:pPr>
              <w:pStyle w:val="Normal"/>
              <w:snapToGrid w:val="false"/>
              <w:jc w:val="end"/>
              <w:rPr>
                <w:rFonts w:ascii="Arial" w:hAnsi="Arial" w:cs="Arial"/>
                <w:color w:val="000000"/>
                <w:sz w:val="18"/>
              </w:rPr>
            </w:pPr>
            <w:r>
              <w:rPr>
                <w:rFonts w:cs="Arial" w:ascii="Arial" w:hAnsi="Arial"/>
                <w:color w:val="000000"/>
                <w:sz w:val="18"/>
              </w:rPr>
            </w:r>
          </w:p>
        </w:tc>
        <w:tc>
          <w:tcPr>
            <w:tcW w:w="1080"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23"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09"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09"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20"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12" w:space="0" w:color="000000"/>
              <w:start w:val="single" w:sz="2" w:space="0" w:color="000000"/>
              <w:bottom w:val="single" w:sz="2" w:space="0" w:color="000000"/>
              <w:end w:val="single" w:sz="12" w:space="0" w:color="000000"/>
            </w:tcBorders>
            <w:shd w:fill="7FFFFF" w:val="clear"/>
          </w:tcPr>
          <w:p>
            <w:pPr>
              <w:pStyle w:val="Normal"/>
              <w:snapToGrid w:val="false"/>
              <w:jc w:val="end"/>
              <w:rPr>
                <w:rFonts w:ascii="Arial" w:hAnsi="Arial" w:cs="Arial"/>
                <w:color w:val="000000"/>
                <w:sz w:val="18"/>
              </w:rPr>
            </w:pPr>
            <w:r>
              <w:rPr>
                <w:rFonts w:cs="Arial" w:ascii="Arial" w:hAnsi="Arial"/>
                <w:color w:val="000000"/>
                <w:sz w:val="18"/>
              </w:rPr>
            </w:r>
          </w:p>
        </w:tc>
      </w:tr>
      <w:tr>
        <w:trPr>
          <w:trHeight w:val="348" w:hRule="atLeast"/>
        </w:trPr>
        <w:tc>
          <w:tcPr>
            <w:tcW w:w="2880" w:type="dxa"/>
            <w:tcBorders>
              <w:top w:val="single" w:sz="2" w:space="0" w:color="000000"/>
              <w:start w:val="single" w:sz="12" w:space="0" w:color="000000"/>
              <w:bottom w:val="single" w:sz="2" w:space="0" w:color="000000"/>
              <w:end w:val="single" w:sz="2" w:space="0" w:color="000000"/>
            </w:tcBorders>
          </w:tcPr>
          <w:p>
            <w:pPr>
              <w:pStyle w:val="Heading6"/>
              <w:spacing w:before="60" w:after="0"/>
              <w:ind w:hanging="0" w:start="0"/>
              <w:rPr/>
            </w:pPr>
            <w:r>
              <w:rPr/>
              <w:t>Competitive Energy Services</w:t>
            </w:r>
          </w:p>
        </w:tc>
        <w:tc>
          <w:tcPr>
            <w:tcW w:w="1080" w:type="dxa"/>
            <w:tcBorders>
              <w:top w:val="single" w:sz="2" w:space="0" w:color="000000"/>
              <w:start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0"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r>
      <w:tr>
        <w:trPr>
          <w:trHeight w:val="540" w:hRule="atLeast"/>
        </w:trPr>
        <w:tc>
          <w:tcPr>
            <w:tcW w:w="2880" w:type="dxa"/>
            <w:tcBorders>
              <w:top w:val="single" w:sz="2" w:space="0" w:color="000000"/>
              <w:start w:val="single" w:sz="12" w:space="0" w:color="000000"/>
            </w:tcBorders>
          </w:tcPr>
          <w:p>
            <w:pPr>
              <w:pStyle w:val="Normal"/>
              <w:rPr>
                <w:rFonts w:ascii="Arial" w:hAnsi="Arial" w:cs="Arial"/>
                <w:color w:val="000000"/>
              </w:rPr>
            </w:pPr>
            <w:r>
              <w:rPr>
                <w:rFonts w:cs="Arial" w:ascii="Arial" w:hAnsi="Arial"/>
                <w:color w:val="000000"/>
              </w:rPr>
              <w:t xml:space="preserve">All affected investor-owned </w:t>
              <w:br/>
              <w:t>utilities</w:t>
            </w:r>
          </w:p>
        </w:tc>
        <w:tc>
          <w:tcPr>
            <w:tcW w:w="1080" w:type="dxa"/>
            <w:tcBorders>
              <w:top w:val="single" w:sz="2" w:space="0" w:color="000000"/>
              <w:start w:val="single" w:sz="2" w:space="0" w:color="000000"/>
              <w:bottom w:val="single" w:sz="1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3" w:type="dxa"/>
            <w:tcBorders/>
          </w:tcPr>
          <w:p>
            <w:pPr>
              <w:pStyle w:val="Normal"/>
              <w:snapToGrid w:val="false"/>
              <w:jc w:val="end"/>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end w:val="single" w:sz="2" w:space="0" w:color="000000"/>
            </w:tcBorders>
            <w:shd w:fill="00FFFF" w:val="clear"/>
          </w:tcPr>
          <w:p>
            <w:pPr>
              <w:pStyle w:val="Normal"/>
              <w:spacing w:before="120" w:after="0"/>
              <w:ind w:start="288" w:end="0"/>
              <w:rPr>
                <w:rFonts w:ascii="Arial" w:hAnsi="Arial" w:cs="Arial"/>
                <w:color w:val="000000"/>
                <w:sz w:val="18"/>
              </w:rPr>
            </w:pPr>
            <w:r>
              <w:rPr>
                <w:rFonts w:cs="Arial" w:ascii="Arial" w:hAnsi="Arial"/>
                <w:color w:val="000000"/>
                <w:sz w:val="18"/>
              </w:rPr>
              <w:t>Filed</w:t>
            </w:r>
          </w:p>
        </w:tc>
        <w:tc>
          <w:tcPr>
            <w:tcW w:w="1109" w:type="dxa"/>
            <w:tcBorders>
              <w:top w:val="single" w:sz="2" w:space="0" w:color="000000"/>
              <w:start w:val="single" w:sz="2" w:space="0" w:color="000000"/>
              <w:end w:val="single" w:sz="2" w:space="0" w:color="000000"/>
            </w:tcBorders>
            <w:shd w:fill="00FFFF" w:val="clear"/>
          </w:tcPr>
          <w:p>
            <w:pPr>
              <w:pStyle w:val="Normal"/>
              <w:spacing w:before="120" w:after="0"/>
              <w:rPr>
                <w:rFonts w:ascii="Arial" w:hAnsi="Arial" w:cs="Arial"/>
                <w:color w:val="000000"/>
                <w:sz w:val="18"/>
              </w:rPr>
            </w:pPr>
            <w:r>
              <w:rPr>
                <w:rFonts w:cs="Arial" w:ascii="Arial" w:hAnsi="Arial"/>
                <w:color w:val="000000"/>
                <w:sz w:val="18"/>
              </w:rPr>
              <w:t>Completed</w:t>
            </w:r>
          </w:p>
        </w:tc>
        <w:tc>
          <w:tcPr>
            <w:tcW w:w="1121" w:type="dxa"/>
            <w:tcBorders>
              <w:top w:val="single" w:sz="2" w:space="0" w:color="000000"/>
              <w:start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0" w:type="dxa"/>
            <w:tcBorders>
              <w:top w:val="single" w:sz="2" w:space="0" w:color="000000"/>
              <w:start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end w:val="single" w:sz="1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r>
      <w:tr>
        <w:trPr>
          <w:trHeight w:val="50" w:hRule="exact"/>
        </w:trPr>
        <w:tc>
          <w:tcPr>
            <w:tcW w:w="2880" w:type="dxa"/>
            <w:tcBorders>
              <w:top w:val="single" w:sz="12" w:space="0" w:color="000000"/>
              <w:start w:val="single" w:sz="12" w:space="0" w:color="000000"/>
              <w:bottom w:val="single" w:sz="2" w:space="0" w:color="000000"/>
              <w:end w:val="single" w:sz="2" w:space="0" w:color="000000"/>
            </w:tcBorders>
            <w:shd w:fill="7FFFFF" w:val="clear"/>
          </w:tcPr>
          <w:p>
            <w:pPr>
              <w:pStyle w:val="Normal"/>
              <w:snapToGrid w:val="false"/>
              <w:jc w:val="end"/>
              <w:rPr>
                <w:rFonts w:ascii="Arial" w:hAnsi="Arial" w:cs="Arial"/>
                <w:color w:val="000000"/>
                <w:sz w:val="18"/>
              </w:rPr>
            </w:pPr>
            <w:r>
              <w:rPr>
                <w:rFonts w:cs="Arial" w:ascii="Arial" w:hAnsi="Arial"/>
                <w:color w:val="000000"/>
                <w:sz w:val="18"/>
              </w:rPr>
            </w:r>
          </w:p>
        </w:tc>
        <w:tc>
          <w:tcPr>
            <w:tcW w:w="1080" w:type="dxa"/>
            <w:tcBorders>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23"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09"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spacing w:before="120" w:after="0"/>
              <w:ind w:start="288" w:end="0"/>
              <w:rPr>
                <w:rFonts w:ascii="Arial" w:hAnsi="Arial" w:cs="Arial"/>
                <w:color w:val="000000"/>
                <w:sz w:val="18"/>
              </w:rPr>
            </w:pPr>
            <w:r>
              <w:rPr>
                <w:rFonts w:cs="Arial" w:ascii="Arial" w:hAnsi="Arial"/>
                <w:color w:val="000000"/>
                <w:sz w:val="18"/>
              </w:rPr>
            </w:r>
          </w:p>
        </w:tc>
        <w:tc>
          <w:tcPr>
            <w:tcW w:w="1109"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20"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12" w:space="0" w:color="000000"/>
              <w:start w:val="single" w:sz="2" w:space="0" w:color="000000"/>
              <w:bottom w:val="single" w:sz="2" w:space="0" w:color="000000"/>
              <w:end w:val="single" w:sz="12" w:space="0" w:color="000000"/>
            </w:tcBorders>
            <w:shd w:fill="7FFFFF" w:val="clear"/>
          </w:tcPr>
          <w:p>
            <w:pPr>
              <w:pStyle w:val="Normal"/>
              <w:snapToGrid w:val="false"/>
              <w:jc w:val="end"/>
              <w:rPr>
                <w:rFonts w:ascii="Arial" w:hAnsi="Arial" w:cs="Arial"/>
                <w:color w:val="000000"/>
                <w:sz w:val="18"/>
              </w:rPr>
            </w:pPr>
            <w:r>
              <w:rPr>
                <w:rFonts w:cs="Arial" w:ascii="Arial" w:hAnsi="Arial"/>
                <w:color w:val="000000"/>
                <w:sz w:val="18"/>
              </w:rPr>
            </w:r>
          </w:p>
        </w:tc>
      </w:tr>
      <w:tr>
        <w:trPr>
          <w:trHeight w:val="348" w:hRule="atLeast"/>
        </w:trPr>
        <w:tc>
          <w:tcPr>
            <w:tcW w:w="2880" w:type="dxa"/>
            <w:tcBorders>
              <w:top w:val="single" w:sz="2" w:space="0" w:color="000000"/>
              <w:start w:val="single" w:sz="12" w:space="0" w:color="000000"/>
              <w:bottom w:val="single" w:sz="2" w:space="0" w:color="000000"/>
              <w:end w:val="single" w:sz="2" w:space="0" w:color="000000"/>
            </w:tcBorders>
          </w:tcPr>
          <w:p>
            <w:pPr>
              <w:pStyle w:val="Heading6"/>
              <w:spacing w:before="60" w:after="0"/>
              <w:ind w:hanging="0" w:start="0"/>
              <w:rPr/>
            </w:pPr>
            <w:r>
              <w:rPr/>
              <w:t>Business Separation</w:t>
            </w:r>
          </w:p>
        </w:tc>
        <w:tc>
          <w:tcPr>
            <w:tcW w:w="1080"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bottom w:val="single" w:sz="2" w:space="0" w:color="000000"/>
              <w:end w:val="single" w:sz="2" w:space="0" w:color="000000"/>
            </w:tcBorders>
          </w:tcPr>
          <w:p>
            <w:pPr>
              <w:pStyle w:val="Normal"/>
              <w:snapToGrid w:val="false"/>
              <w:spacing w:before="120" w:after="0"/>
              <w:ind w:start="288" w:end="0"/>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0"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r>
      <w:tr>
        <w:trPr>
          <w:trHeight w:val="520" w:hRule="exact"/>
        </w:trPr>
        <w:tc>
          <w:tcPr>
            <w:tcW w:w="2880" w:type="dxa"/>
            <w:tcBorders>
              <w:top w:val="single" w:sz="2" w:space="0" w:color="000000"/>
              <w:start w:val="single" w:sz="12" w:space="0" w:color="000000"/>
              <w:bottom w:val="single" w:sz="2" w:space="0" w:color="000000"/>
              <w:end w:val="single" w:sz="2" w:space="0" w:color="000000"/>
            </w:tcBorders>
          </w:tcPr>
          <w:p>
            <w:pPr>
              <w:pStyle w:val="Normal"/>
              <w:spacing w:before="120" w:after="0"/>
              <w:rPr>
                <w:rFonts w:ascii="Arial" w:hAnsi="Arial" w:cs="Arial"/>
                <w:color w:val="000000"/>
              </w:rPr>
            </w:pPr>
            <w:r>
              <w:rPr>
                <w:rFonts w:cs="Arial" w:ascii="Arial" w:hAnsi="Arial"/>
                <w:color w:val="000000"/>
              </w:rPr>
              <w:t>Reliant</w:t>
            </w:r>
          </w:p>
        </w:tc>
        <w:tc>
          <w:tcPr>
            <w:tcW w:w="108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120" w:after="0"/>
              <w:ind w:start="288" w:end="0"/>
              <w:rPr>
                <w:rFonts w:ascii="Arial" w:hAnsi="Arial" w:cs="Arial"/>
                <w:color w:val="000000"/>
                <w:sz w:val="18"/>
              </w:rPr>
            </w:pPr>
            <w:r>
              <w:rPr>
                <w:rFonts w:cs="Arial" w:ascii="Arial" w:hAnsi="Arial"/>
                <w:color w:val="000000"/>
                <w:sz w:val="18"/>
              </w:rPr>
              <w:t>Filed</w:t>
            </w:r>
          </w:p>
        </w:tc>
        <w:tc>
          <w:tcPr>
            <w:tcW w:w="1109"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0"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spacing w:before="40" w:after="0"/>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center"/>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pacing w:before="40" w:after="0"/>
              <w:rPr/>
            </w:pPr>
            <w:r>
              <w:rPr>
                <w:rFonts w:eastAsia="Arial" w:cs="Arial" w:ascii="Arial" w:hAnsi="Arial"/>
                <w:color w:val="000000"/>
                <w:sz w:val="18"/>
              </w:rPr>
              <w:t xml:space="preserve"> </w:t>
            </w:r>
            <w:r>
              <w:rPr>
                <w:rFonts w:cs="Arial" w:ascii="Arial" w:hAnsi="Arial"/>
                <w:b/>
                <w:sz w:val="18"/>
              </w:rPr>
              <w:t xml:space="preserve">Completed  </w:t>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b/>
                <w:color w:val="000000"/>
                <w:sz w:val="18"/>
              </w:rPr>
            </w:pPr>
            <w:r>
              <w:rPr>
                <w:rFonts w:cs="Arial" w:ascii="Arial" w:hAnsi="Arial"/>
                <w:b/>
                <w:color w:val="000000"/>
                <w:sz w:val="18"/>
              </w:rPr>
            </w:r>
          </w:p>
        </w:tc>
        <w:tc>
          <w:tcPr>
            <w:tcW w:w="1121" w:type="dxa"/>
            <w:tcBorders>
              <w:top w:val="single" w:sz="2" w:space="0" w:color="000000"/>
              <w:start w:val="single" w:sz="2" w:space="0" w:color="000000"/>
              <w:end w:val="single" w:sz="1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r>
      <w:tr>
        <w:trPr>
          <w:trHeight w:val="520" w:hRule="atLeast"/>
        </w:trPr>
        <w:tc>
          <w:tcPr>
            <w:tcW w:w="2880" w:type="dxa"/>
            <w:tcBorders>
              <w:top w:val="single" w:sz="2" w:space="0" w:color="000000"/>
              <w:start w:val="single" w:sz="12" w:space="0" w:color="000000"/>
              <w:bottom w:val="single" w:sz="2" w:space="0" w:color="000000"/>
              <w:end w:val="single" w:sz="2" w:space="0" w:color="000000"/>
            </w:tcBorders>
          </w:tcPr>
          <w:p>
            <w:pPr>
              <w:pStyle w:val="Normal"/>
              <w:spacing w:before="120" w:after="0"/>
              <w:rPr>
                <w:rFonts w:ascii="Arial" w:hAnsi="Arial" w:cs="Arial"/>
                <w:color w:val="000000"/>
              </w:rPr>
            </w:pPr>
            <w:r>
              <w:rPr>
                <w:rFonts w:cs="Arial" w:ascii="Arial" w:hAnsi="Arial"/>
                <w:color w:val="000000"/>
              </w:rPr>
              <w:t>TXU</w:t>
            </w:r>
          </w:p>
        </w:tc>
        <w:tc>
          <w:tcPr>
            <w:tcW w:w="1080"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120" w:after="0"/>
              <w:ind w:start="288" w:end="0"/>
              <w:rPr>
                <w:rFonts w:ascii="Arial" w:hAnsi="Arial" w:cs="Arial"/>
                <w:color w:val="000000"/>
                <w:sz w:val="18"/>
              </w:rPr>
            </w:pPr>
            <w:r>
              <w:rPr>
                <w:rFonts w:cs="Arial" w:ascii="Arial" w:hAnsi="Arial"/>
                <w:color w:val="000000"/>
                <w:sz w:val="18"/>
              </w:rPr>
              <w:t>Filed</w:t>
            </w:r>
          </w:p>
        </w:tc>
        <w:tc>
          <w:tcPr>
            <w:tcW w:w="1109"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0"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40" w:after="0"/>
              <w:jc w:val="center"/>
              <w:rPr>
                <w:rFonts w:ascii="Arial" w:hAnsi="Arial" w:cs="Arial"/>
                <w:color w:val="000000"/>
                <w:sz w:val="18"/>
              </w:rPr>
            </w:pPr>
            <w:r>
              <w:rPr>
                <w:rFonts w:cs="Arial" w:ascii="Arial" w:hAnsi="Arial"/>
                <w:color w:val="000000"/>
                <w:sz w:val="18"/>
              </w:rPr>
              <w:t>Completed</w:t>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1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r>
      <w:tr>
        <w:trPr>
          <w:trHeight w:val="520" w:hRule="exact"/>
        </w:trPr>
        <w:tc>
          <w:tcPr>
            <w:tcW w:w="2880" w:type="dxa"/>
            <w:tcBorders>
              <w:top w:val="single" w:sz="2" w:space="0" w:color="000000"/>
              <w:start w:val="single" w:sz="12" w:space="0" w:color="000000"/>
              <w:end w:val="single" w:sz="2" w:space="0" w:color="000000"/>
            </w:tcBorders>
          </w:tcPr>
          <w:p>
            <w:pPr>
              <w:pStyle w:val="Normal"/>
              <w:rPr>
                <w:rFonts w:ascii="Arial" w:hAnsi="Arial" w:cs="Arial"/>
                <w:color w:val="000000"/>
              </w:rPr>
            </w:pPr>
            <w:r>
              <w:rPr>
                <w:rFonts w:cs="Arial" w:ascii="Arial" w:hAnsi="Arial"/>
                <w:color w:val="000000"/>
              </w:rPr>
              <w:t>All other affected investor-owned utilities</w:t>
            </w:r>
          </w:p>
        </w:tc>
        <w:tc>
          <w:tcPr>
            <w:tcW w:w="1080" w:type="dxa"/>
            <w:tcBorders>
              <w:top w:val="single" w:sz="2" w:space="0" w:color="000000"/>
              <w:start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3" w:type="dxa"/>
            <w:tcBorders>
              <w:top w:val="single" w:sz="2" w:space="0" w:color="000000"/>
              <w:start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end w:val="single" w:sz="2" w:space="0" w:color="000000"/>
            </w:tcBorders>
            <w:shd w:fill="00FFFF" w:val="clear"/>
          </w:tcPr>
          <w:p>
            <w:pPr>
              <w:pStyle w:val="Normal"/>
              <w:spacing w:before="120" w:after="0"/>
              <w:ind w:start="288" w:end="0"/>
              <w:rPr>
                <w:rFonts w:ascii="Arial" w:hAnsi="Arial" w:cs="Arial"/>
                <w:color w:val="000000"/>
                <w:sz w:val="18"/>
              </w:rPr>
            </w:pPr>
            <w:r>
              <w:rPr>
                <w:rFonts w:cs="Arial" w:ascii="Arial" w:hAnsi="Arial"/>
                <w:color w:val="000000"/>
                <w:sz w:val="18"/>
              </w:rPr>
              <w:t>Filed</w:t>
            </w:r>
          </w:p>
        </w:tc>
        <w:tc>
          <w:tcPr>
            <w:tcW w:w="1109" w:type="dxa"/>
            <w:tcBorders>
              <w:top w:val="single" w:sz="2" w:space="0" w:color="000000"/>
              <w:start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end w:val="single" w:sz="2" w:space="0" w:color="000000"/>
            </w:tcBorders>
            <w:shd w:fill="00FFFF" w:val="clear"/>
          </w:tcPr>
          <w:p>
            <w:pPr>
              <w:pStyle w:val="Normal"/>
              <w:spacing w:before="120" w:after="0"/>
              <w:jc w:val="center"/>
              <w:rPr>
                <w:rFonts w:ascii="Arial" w:hAnsi="Arial" w:cs="Arial"/>
                <w:color w:val="000000"/>
                <w:sz w:val="18"/>
              </w:rPr>
            </w:pPr>
            <w:r>
              <w:rPr>
                <w:rFonts w:cs="Arial" w:ascii="Arial" w:hAnsi="Arial"/>
                <w:color w:val="000000"/>
                <w:sz w:val="18"/>
              </w:rPr>
              <w:t>Completed</w:t>
            </w:r>
          </w:p>
        </w:tc>
        <w:tc>
          <w:tcPr>
            <w:tcW w:w="1120" w:type="dxa"/>
            <w:tcBorders>
              <w:top w:val="single" w:sz="2" w:space="0" w:color="000000"/>
              <w:start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end w:val="single" w:sz="1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r>
      <w:tr>
        <w:trPr>
          <w:trHeight w:val="50" w:hRule="exact"/>
        </w:trPr>
        <w:tc>
          <w:tcPr>
            <w:tcW w:w="2880" w:type="dxa"/>
            <w:tcBorders>
              <w:top w:val="single" w:sz="12" w:space="0" w:color="000000"/>
              <w:start w:val="single" w:sz="12" w:space="0" w:color="000000"/>
              <w:bottom w:val="single" w:sz="2" w:space="0" w:color="000000"/>
              <w:end w:val="single" w:sz="2" w:space="0" w:color="000000"/>
            </w:tcBorders>
            <w:shd w:fill="7FFFFF" w:val="clear"/>
          </w:tcPr>
          <w:p>
            <w:pPr>
              <w:pStyle w:val="Normal"/>
              <w:snapToGrid w:val="false"/>
              <w:jc w:val="end"/>
              <w:rPr>
                <w:rFonts w:ascii="Arial" w:hAnsi="Arial" w:cs="Arial"/>
                <w:color w:val="000000"/>
                <w:sz w:val="18"/>
              </w:rPr>
            </w:pPr>
            <w:r>
              <w:rPr>
                <w:rFonts w:cs="Arial" w:ascii="Arial" w:hAnsi="Arial"/>
                <w:color w:val="000000"/>
                <w:sz w:val="18"/>
              </w:rPr>
            </w:r>
          </w:p>
        </w:tc>
        <w:tc>
          <w:tcPr>
            <w:tcW w:w="1080"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23"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09"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09"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20"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12" w:space="0" w:color="000000"/>
              <w:start w:val="single" w:sz="2" w:space="0" w:color="000000"/>
              <w:bottom w:val="single" w:sz="2" w:space="0" w:color="000000"/>
              <w:end w:val="single" w:sz="2" w:space="0" w:color="000000"/>
            </w:tcBorders>
            <w:shd w:fill="7F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12" w:space="0" w:color="000000"/>
              <w:start w:val="single" w:sz="2" w:space="0" w:color="000000"/>
              <w:bottom w:val="single" w:sz="2" w:space="0" w:color="000000"/>
              <w:end w:val="single" w:sz="12" w:space="0" w:color="000000"/>
            </w:tcBorders>
            <w:shd w:fill="7FFFFF" w:val="clear"/>
          </w:tcPr>
          <w:p>
            <w:pPr>
              <w:pStyle w:val="Normal"/>
              <w:snapToGrid w:val="false"/>
              <w:jc w:val="end"/>
              <w:rPr>
                <w:rFonts w:ascii="Arial" w:hAnsi="Arial" w:cs="Arial"/>
                <w:color w:val="000000"/>
                <w:sz w:val="18"/>
              </w:rPr>
            </w:pPr>
            <w:r>
              <w:rPr>
                <w:rFonts w:cs="Arial" w:ascii="Arial" w:hAnsi="Arial"/>
                <w:color w:val="000000"/>
                <w:sz w:val="18"/>
              </w:rPr>
            </w:r>
          </w:p>
        </w:tc>
      </w:tr>
      <w:tr>
        <w:trPr>
          <w:trHeight w:val="348" w:hRule="atLeast"/>
        </w:trPr>
        <w:tc>
          <w:tcPr>
            <w:tcW w:w="2880" w:type="dxa"/>
            <w:tcBorders>
              <w:top w:val="single" w:sz="2" w:space="0" w:color="000000"/>
              <w:start w:val="single" w:sz="12" w:space="0" w:color="000000"/>
              <w:bottom w:val="single" w:sz="2" w:space="0" w:color="000000"/>
              <w:end w:val="single" w:sz="2" w:space="0" w:color="000000"/>
            </w:tcBorders>
          </w:tcPr>
          <w:p>
            <w:pPr>
              <w:pStyle w:val="Heading6"/>
              <w:spacing w:before="60" w:after="0"/>
              <w:ind w:hanging="0" w:start="0"/>
              <w:rPr/>
            </w:pPr>
            <w:r>
              <w:rPr/>
              <w:t>Cost Unbundling</w:t>
            </w:r>
          </w:p>
        </w:tc>
        <w:tc>
          <w:tcPr>
            <w:tcW w:w="1080"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0"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end w:val="single" w:sz="1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r>
      <w:tr>
        <w:trPr>
          <w:trHeight w:val="520" w:hRule="exact"/>
        </w:trPr>
        <w:tc>
          <w:tcPr>
            <w:tcW w:w="2880" w:type="dxa"/>
            <w:tcBorders>
              <w:top w:val="single" w:sz="2" w:space="0" w:color="000000"/>
              <w:start w:val="single" w:sz="12" w:space="0" w:color="000000"/>
              <w:bottom w:val="single" w:sz="2" w:space="0" w:color="000000"/>
              <w:end w:val="single" w:sz="2" w:space="0" w:color="000000"/>
            </w:tcBorders>
          </w:tcPr>
          <w:p>
            <w:pPr>
              <w:pStyle w:val="Normal"/>
              <w:spacing w:before="120" w:after="0"/>
              <w:rPr>
                <w:rFonts w:ascii="Arial" w:hAnsi="Arial" w:cs="Arial"/>
                <w:color w:val="000000"/>
              </w:rPr>
            </w:pPr>
            <w:r>
              <w:rPr>
                <w:rFonts w:cs="Arial" w:ascii="Arial" w:hAnsi="Arial"/>
                <w:color w:val="000000"/>
              </w:rPr>
              <w:t>TXU</w:t>
            </w:r>
          </w:p>
        </w:tc>
        <w:tc>
          <w:tcPr>
            <w:tcW w:w="1080"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120" w:after="0"/>
              <w:ind w:start="288" w:end="0"/>
              <w:rPr>
                <w:rFonts w:ascii="Arial" w:hAnsi="Arial" w:cs="Arial"/>
                <w:color w:val="000000"/>
                <w:sz w:val="18"/>
              </w:rPr>
            </w:pPr>
            <w:r>
              <w:rPr>
                <w:rFonts w:cs="Arial" w:ascii="Arial" w:hAnsi="Arial"/>
                <w:color w:val="000000"/>
                <w:sz w:val="18"/>
              </w:rPr>
              <w:t>Filed</w:t>
            </w:r>
          </w:p>
        </w:tc>
        <w:tc>
          <w:tcPr>
            <w:tcW w:w="1109"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0"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center"/>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jc w:val="center"/>
              <w:rPr>
                <w:rFonts w:ascii="Arial" w:hAnsi="Arial" w:cs="Arial"/>
                <w:color w:val="000000"/>
                <w:sz w:val="18"/>
              </w:rPr>
            </w:pPr>
            <w:r>
              <w:rPr>
                <w:rFonts w:cs="Arial" w:ascii="Arial" w:hAnsi="Arial"/>
                <w:color w:val="000000"/>
                <w:sz w:val="18"/>
              </w:rPr>
              <w:t>Proposed</w:t>
            </w:r>
          </w:p>
          <w:p>
            <w:pPr>
              <w:pStyle w:val="Normal"/>
              <w:jc w:val="center"/>
              <w:rPr>
                <w:rFonts w:ascii="Arial" w:hAnsi="Arial" w:cs="Arial"/>
                <w:color w:val="000000"/>
                <w:sz w:val="18"/>
              </w:rPr>
            </w:pPr>
            <w:r>
              <w:rPr>
                <w:rFonts w:cs="Arial" w:ascii="Arial" w:hAnsi="Arial"/>
                <w:color w:val="000000"/>
                <w:sz w:val="18"/>
              </w:rPr>
              <w:t>Decision</w:t>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40" w:after="0"/>
              <w:ind w:start="288" w:end="0"/>
              <w:rPr>
                <w:rFonts w:ascii="Arial" w:hAnsi="Arial" w:cs="Arial"/>
                <w:color w:val="000000"/>
                <w:sz w:val="18"/>
              </w:rPr>
            </w:pPr>
            <w:r>
              <w:rPr>
                <w:rFonts w:cs="Arial" w:ascii="Arial" w:hAnsi="Arial"/>
                <w:color w:val="000000"/>
                <w:sz w:val="18"/>
              </w:rPr>
              <w:t xml:space="preserve">Interim </w:t>
              <w:br/>
              <w:t>Order</w:t>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40" w:after="0"/>
              <w:jc w:val="center"/>
              <w:rPr>
                <w:rFonts w:ascii="Arial" w:hAnsi="Arial" w:cs="Arial"/>
                <w:color w:val="000000"/>
                <w:sz w:val="18"/>
              </w:rPr>
            </w:pPr>
            <w:r>
              <w:rPr>
                <w:rFonts w:cs="Arial" w:ascii="Arial" w:hAnsi="Arial"/>
                <w:color w:val="000000"/>
                <w:sz w:val="18"/>
              </w:rPr>
              <w:t>Scheduled Completion</w:t>
            </w:r>
          </w:p>
        </w:tc>
        <w:tc>
          <w:tcPr>
            <w:tcW w:w="1121" w:type="dxa"/>
            <w:tcBorders>
              <w:top w:val="single" w:sz="2" w:space="0" w:color="000000"/>
              <w:start w:val="single" w:sz="2" w:space="0" w:color="000000"/>
              <w:bottom w:val="single" w:sz="2" w:space="0" w:color="000000"/>
              <w:end w:val="single" w:sz="12" w:space="0" w:color="000000"/>
            </w:tcBorders>
          </w:tcPr>
          <w:p>
            <w:pPr>
              <w:pStyle w:val="Normal"/>
              <w:snapToGrid w:val="false"/>
              <w:rPr>
                <w:rFonts w:ascii="Arial" w:hAnsi="Arial" w:cs="Arial"/>
                <w:color w:val="000000"/>
                <w:sz w:val="18"/>
              </w:rPr>
            </w:pPr>
            <w:r>
              <w:rPr>
                <w:rFonts w:cs="Arial" w:ascii="Arial" w:hAnsi="Arial"/>
                <w:color w:val="000000"/>
                <w:sz w:val="18"/>
              </w:rPr>
            </w:r>
          </w:p>
        </w:tc>
      </w:tr>
      <w:tr>
        <w:trPr>
          <w:trHeight w:val="520" w:hRule="exact"/>
        </w:trPr>
        <w:tc>
          <w:tcPr>
            <w:tcW w:w="2880" w:type="dxa"/>
            <w:tcBorders>
              <w:top w:val="single" w:sz="2" w:space="0" w:color="000000"/>
              <w:start w:val="single" w:sz="12" w:space="0" w:color="000000"/>
              <w:bottom w:val="single" w:sz="2" w:space="0" w:color="000000"/>
              <w:end w:val="single" w:sz="2" w:space="0" w:color="000000"/>
            </w:tcBorders>
          </w:tcPr>
          <w:p>
            <w:pPr>
              <w:pStyle w:val="Normal"/>
              <w:spacing w:before="120" w:after="0"/>
              <w:rPr>
                <w:rFonts w:ascii="Arial" w:hAnsi="Arial" w:cs="Arial"/>
                <w:color w:val="000000"/>
              </w:rPr>
            </w:pPr>
            <w:r>
              <w:rPr>
                <w:rFonts w:cs="Arial" w:ascii="Arial" w:hAnsi="Arial"/>
                <w:color w:val="000000"/>
              </w:rPr>
              <w:t>Reliant</w:t>
            </w:r>
          </w:p>
        </w:tc>
        <w:tc>
          <w:tcPr>
            <w:tcW w:w="1080"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120" w:after="0"/>
              <w:ind w:start="288" w:end="0"/>
              <w:rPr>
                <w:rFonts w:ascii="Arial" w:hAnsi="Arial" w:cs="Arial"/>
                <w:color w:val="000000"/>
                <w:sz w:val="18"/>
              </w:rPr>
            </w:pPr>
            <w:r>
              <w:rPr>
                <w:rFonts w:cs="Arial" w:ascii="Arial" w:hAnsi="Arial"/>
                <w:color w:val="000000"/>
                <w:sz w:val="18"/>
              </w:rPr>
              <w:t>Filed</w:t>
            </w:r>
          </w:p>
        </w:tc>
        <w:tc>
          <w:tcPr>
            <w:tcW w:w="1109"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0"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jc w:val="center"/>
              <w:rPr>
                <w:rFonts w:ascii="Arial" w:hAnsi="Arial" w:cs="Arial"/>
                <w:color w:val="000000"/>
                <w:sz w:val="18"/>
              </w:rPr>
            </w:pPr>
            <w:r>
              <w:rPr>
                <w:rFonts w:cs="Arial" w:ascii="Arial" w:hAnsi="Arial"/>
                <w:color w:val="000000"/>
                <w:sz w:val="18"/>
              </w:rPr>
              <w:t>Proposed</w:t>
            </w:r>
          </w:p>
          <w:p>
            <w:pPr>
              <w:pStyle w:val="Normal"/>
              <w:jc w:val="center"/>
              <w:rPr>
                <w:rFonts w:ascii="Arial" w:hAnsi="Arial" w:cs="Arial"/>
                <w:color w:val="000000"/>
                <w:sz w:val="18"/>
              </w:rPr>
            </w:pPr>
            <w:r>
              <w:rPr>
                <w:rFonts w:cs="Arial" w:ascii="Arial" w:hAnsi="Arial"/>
                <w:color w:val="000000"/>
                <w:sz w:val="18"/>
              </w:rPr>
              <w:t>Decision</w:t>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40" w:after="0"/>
              <w:ind w:start="288" w:end="0"/>
              <w:rPr>
                <w:rFonts w:ascii="Arial" w:hAnsi="Arial" w:cs="Arial"/>
                <w:color w:val="000000"/>
                <w:sz w:val="18"/>
              </w:rPr>
            </w:pPr>
            <w:r>
              <w:rPr>
                <w:rFonts w:cs="Arial" w:ascii="Arial" w:hAnsi="Arial"/>
                <w:color w:val="000000"/>
                <w:sz w:val="18"/>
              </w:rPr>
              <w:t xml:space="preserve">Interim </w:t>
              <w:br/>
              <w:t>Order</w:t>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40" w:after="0"/>
              <w:jc w:val="center"/>
              <w:rPr>
                <w:rFonts w:ascii="Arial" w:hAnsi="Arial" w:cs="Arial"/>
                <w:color w:val="000000"/>
                <w:sz w:val="18"/>
              </w:rPr>
            </w:pPr>
            <w:r>
              <w:rPr>
                <w:rFonts w:cs="Arial" w:ascii="Arial" w:hAnsi="Arial"/>
                <w:color w:val="000000"/>
                <w:sz w:val="18"/>
              </w:rPr>
              <w:t>Scheduled Completion</w:t>
            </w:r>
          </w:p>
        </w:tc>
        <w:tc>
          <w:tcPr>
            <w:tcW w:w="1121" w:type="dxa"/>
            <w:tcBorders>
              <w:top w:val="single" w:sz="2" w:space="0" w:color="000000"/>
              <w:start w:val="single" w:sz="2" w:space="0" w:color="000000"/>
              <w:bottom w:val="single" w:sz="2" w:space="0" w:color="000000"/>
              <w:end w:val="single" w:sz="12" w:space="0" w:color="000000"/>
            </w:tcBorders>
          </w:tcPr>
          <w:p>
            <w:pPr>
              <w:pStyle w:val="Normal"/>
              <w:snapToGrid w:val="false"/>
              <w:rPr>
                <w:rFonts w:ascii="Arial" w:hAnsi="Arial" w:cs="Arial"/>
                <w:color w:val="000000"/>
                <w:sz w:val="18"/>
              </w:rPr>
            </w:pPr>
            <w:r>
              <w:rPr>
                <w:rFonts w:cs="Arial" w:ascii="Arial" w:hAnsi="Arial"/>
                <w:color w:val="000000"/>
                <w:sz w:val="18"/>
              </w:rPr>
            </w:r>
          </w:p>
        </w:tc>
      </w:tr>
      <w:tr>
        <w:trPr>
          <w:trHeight w:val="520" w:hRule="exact"/>
        </w:trPr>
        <w:tc>
          <w:tcPr>
            <w:tcW w:w="2880" w:type="dxa"/>
            <w:tcBorders>
              <w:top w:val="single" w:sz="2" w:space="0" w:color="000000"/>
              <w:start w:val="single" w:sz="12" w:space="0" w:color="000000"/>
              <w:bottom w:val="single" w:sz="2" w:space="0" w:color="000000"/>
              <w:end w:val="single" w:sz="2" w:space="0" w:color="000000"/>
            </w:tcBorders>
          </w:tcPr>
          <w:p>
            <w:pPr>
              <w:pStyle w:val="Normal"/>
              <w:spacing w:before="120" w:after="0"/>
              <w:rPr>
                <w:rFonts w:ascii="Arial" w:hAnsi="Arial" w:cs="Arial"/>
                <w:color w:val="000000"/>
              </w:rPr>
            </w:pPr>
            <w:r>
              <w:rPr>
                <w:rFonts w:cs="Arial" w:ascii="Arial" w:hAnsi="Arial"/>
                <w:color w:val="000000"/>
              </w:rPr>
              <w:t>American Electric Power</w:t>
            </w:r>
          </w:p>
        </w:tc>
        <w:tc>
          <w:tcPr>
            <w:tcW w:w="1080"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120" w:after="0"/>
              <w:ind w:start="288" w:end="0"/>
              <w:rPr>
                <w:rFonts w:ascii="Arial" w:hAnsi="Arial" w:cs="Arial"/>
                <w:color w:val="000000"/>
                <w:sz w:val="18"/>
              </w:rPr>
            </w:pPr>
            <w:r>
              <w:rPr>
                <w:rFonts w:cs="Arial" w:ascii="Arial" w:hAnsi="Arial"/>
                <w:color w:val="000000"/>
                <w:sz w:val="18"/>
              </w:rPr>
              <w:t>Filed</w:t>
            </w:r>
          </w:p>
        </w:tc>
        <w:tc>
          <w:tcPr>
            <w:tcW w:w="1109"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0"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jc w:val="center"/>
              <w:rPr>
                <w:rFonts w:ascii="Arial" w:hAnsi="Arial" w:cs="Arial"/>
                <w:color w:val="000000"/>
                <w:sz w:val="18"/>
              </w:rPr>
            </w:pPr>
            <w:r>
              <w:rPr>
                <w:rFonts w:cs="Arial" w:ascii="Arial" w:hAnsi="Arial"/>
                <w:color w:val="000000"/>
                <w:sz w:val="18"/>
              </w:rPr>
              <w:t>Proposed</w:t>
            </w:r>
          </w:p>
          <w:p>
            <w:pPr>
              <w:pStyle w:val="Normal"/>
              <w:jc w:val="center"/>
              <w:rPr>
                <w:rFonts w:ascii="Arial" w:hAnsi="Arial" w:cs="Arial"/>
                <w:color w:val="000000"/>
                <w:sz w:val="18"/>
              </w:rPr>
            </w:pPr>
            <w:r>
              <w:rPr>
                <w:rFonts w:cs="Arial" w:ascii="Arial" w:hAnsi="Arial"/>
                <w:color w:val="000000"/>
                <w:sz w:val="18"/>
              </w:rPr>
              <w:t>Decision</w:t>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40" w:after="0"/>
              <w:ind w:start="288" w:end="0"/>
              <w:rPr>
                <w:rFonts w:ascii="Arial" w:hAnsi="Arial" w:cs="Arial"/>
                <w:color w:val="000000"/>
                <w:sz w:val="18"/>
              </w:rPr>
            </w:pPr>
            <w:r>
              <w:rPr>
                <w:rFonts w:cs="Arial" w:ascii="Arial" w:hAnsi="Arial"/>
                <w:color w:val="000000"/>
                <w:sz w:val="18"/>
              </w:rPr>
              <w:t xml:space="preserve">Interim </w:t>
              <w:br/>
              <w:t>Order</w:t>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40" w:after="0"/>
              <w:jc w:val="center"/>
              <w:rPr>
                <w:rFonts w:ascii="Arial" w:hAnsi="Arial" w:cs="Arial"/>
                <w:color w:val="000000"/>
                <w:sz w:val="18"/>
              </w:rPr>
            </w:pPr>
            <w:r>
              <w:rPr>
                <w:rFonts w:cs="Arial" w:ascii="Arial" w:hAnsi="Arial"/>
                <w:color w:val="000000"/>
                <w:sz w:val="18"/>
              </w:rPr>
              <w:t>Scheduled Completion</w:t>
            </w:r>
          </w:p>
        </w:tc>
        <w:tc>
          <w:tcPr>
            <w:tcW w:w="1121" w:type="dxa"/>
            <w:tcBorders>
              <w:top w:val="single" w:sz="2" w:space="0" w:color="000000"/>
              <w:start w:val="single" w:sz="2" w:space="0" w:color="000000"/>
              <w:bottom w:val="single" w:sz="2" w:space="0" w:color="000000"/>
              <w:end w:val="single" w:sz="12" w:space="0" w:color="000000"/>
            </w:tcBorders>
          </w:tcPr>
          <w:p>
            <w:pPr>
              <w:pStyle w:val="Normal"/>
              <w:snapToGrid w:val="false"/>
              <w:rPr>
                <w:rFonts w:ascii="Arial" w:hAnsi="Arial" w:cs="Arial"/>
                <w:color w:val="000000"/>
                <w:sz w:val="18"/>
              </w:rPr>
            </w:pPr>
            <w:r>
              <w:rPr>
                <w:rFonts w:cs="Arial" w:ascii="Arial" w:hAnsi="Arial"/>
                <w:color w:val="000000"/>
                <w:sz w:val="18"/>
              </w:rPr>
            </w:r>
          </w:p>
        </w:tc>
      </w:tr>
      <w:tr>
        <w:trPr>
          <w:trHeight w:val="520" w:hRule="exact"/>
        </w:trPr>
        <w:tc>
          <w:tcPr>
            <w:tcW w:w="2880" w:type="dxa"/>
            <w:tcBorders>
              <w:top w:val="single" w:sz="2" w:space="0" w:color="000000"/>
              <w:start w:val="single" w:sz="12" w:space="0" w:color="000000"/>
              <w:bottom w:val="single" w:sz="2" w:space="0" w:color="000000"/>
              <w:end w:val="single" w:sz="2" w:space="0" w:color="000000"/>
            </w:tcBorders>
          </w:tcPr>
          <w:p>
            <w:pPr>
              <w:pStyle w:val="Normal"/>
              <w:spacing w:before="120" w:after="0"/>
              <w:rPr>
                <w:rFonts w:ascii="Arial" w:hAnsi="Arial" w:cs="Arial"/>
                <w:color w:val="000000"/>
              </w:rPr>
            </w:pPr>
            <w:r>
              <w:rPr>
                <w:rFonts w:cs="Arial" w:ascii="Arial" w:hAnsi="Arial"/>
                <w:color w:val="000000"/>
              </w:rPr>
              <w:t>Entergy</w:t>
            </w:r>
          </w:p>
        </w:tc>
        <w:tc>
          <w:tcPr>
            <w:tcW w:w="1080"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120" w:after="0"/>
              <w:ind w:start="288" w:end="0"/>
              <w:rPr>
                <w:rFonts w:ascii="Arial" w:hAnsi="Arial" w:cs="Arial"/>
                <w:color w:val="000000"/>
                <w:sz w:val="18"/>
              </w:rPr>
            </w:pPr>
            <w:r>
              <w:rPr>
                <w:rFonts w:cs="Arial" w:ascii="Arial" w:hAnsi="Arial"/>
                <w:color w:val="000000"/>
                <w:sz w:val="18"/>
              </w:rPr>
              <w:t>Filed</w:t>
            </w:r>
          </w:p>
        </w:tc>
        <w:tc>
          <w:tcPr>
            <w:tcW w:w="1109"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0"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jc w:val="center"/>
              <w:rPr>
                <w:rFonts w:ascii="Arial" w:hAnsi="Arial" w:cs="Arial"/>
                <w:color w:val="000000"/>
                <w:sz w:val="18"/>
              </w:rPr>
            </w:pPr>
            <w:r>
              <w:rPr>
                <w:rFonts w:cs="Arial" w:ascii="Arial" w:hAnsi="Arial"/>
                <w:color w:val="000000"/>
                <w:sz w:val="18"/>
              </w:rPr>
              <w:t>Proposed</w:t>
            </w:r>
          </w:p>
          <w:p>
            <w:pPr>
              <w:pStyle w:val="Normal"/>
              <w:jc w:val="center"/>
              <w:rPr>
                <w:rFonts w:ascii="Arial" w:hAnsi="Arial" w:cs="Arial"/>
                <w:color w:val="000000"/>
                <w:sz w:val="18"/>
              </w:rPr>
            </w:pPr>
            <w:r>
              <w:rPr>
                <w:rFonts w:cs="Arial" w:ascii="Arial" w:hAnsi="Arial"/>
                <w:color w:val="000000"/>
                <w:sz w:val="18"/>
              </w:rPr>
              <w:t>Decision</w:t>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40" w:after="0"/>
              <w:ind w:start="288" w:end="0"/>
              <w:rPr>
                <w:rFonts w:ascii="Arial" w:hAnsi="Arial" w:cs="Arial"/>
                <w:color w:val="000000"/>
                <w:sz w:val="18"/>
              </w:rPr>
            </w:pPr>
            <w:r>
              <w:rPr>
                <w:rFonts w:cs="Arial" w:ascii="Arial" w:hAnsi="Arial"/>
                <w:color w:val="000000"/>
                <w:sz w:val="18"/>
              </w:rPr>
              <w:t xml:space="preserve">Interim </w:t>
              <w:br/>
              <w:t>Order</w:t>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40" w:after="0"/>
              <w:jc w:val="center"/>
              <w:rPr>
                <w:rFonts w:ascii="Arial" w:hAnsi="Arial" w:cs="Arial"/>
                <w:color w:val="000000"/>
                <w:sz w:val="18"/>
              </w:rPr>
            </w:pPr>
            <w:r>
              <w:rPr>
                <w:rFonts w:cs="Arial" w:ascii="Arial" w:hAnsi="Arial"/>
                <w:color w:val="000000"/>
                <w:sz w:val="18"/>
              </w:rPr>
              <w:t>Scheduled Completion</w:t>
            </w:r>
          </w:p>
        </w:tc>
        <w:tc>
          <w:tcPr>
            <w:tcW w:w="1121" w:type="dxa"/>
            <w:tcBorders>
              <w:top w:val="single" w:sz="2" w:space="0" w:color="000000"/>
              <w:start w:val="single" w:sz="2" w:space="0" w:color="000000"/>
              <w:bottom w:val="single" w:sz="2" w:space="0" w:color="000000"/>
              <w:end w:val="single" w:sz="12" w:space="0" w:color="000000"/>
            </w:tcBorders>
          </w:tcPr>
          <w:p>
            <w:pPr>
              <w:pStyle w:val="Normal"/>
              <w:snapToGrid w:val="false"/>
              <w:rPr>
                <w:rFonts w:ascii="Arial" w:hAnsi="Arial" w:cs="Arial"/>
                <w:color w:val="000000"/>
                <w:sz w:val="18"/>
              </w:rPr>
            </w:pPr>
            <w:r>
              <w:rPr>
                <w:rFonts w:cs="Arial" w:ascii="Arial" w:hAnsi="Arial"/>
                <w:color w:val="000000"/>
                <w:sz w:val="18"/>
              </w:rPr>
            </w:r>
          </w:p>
        </w:tc>
      </w:tr>
      <w:tr>
        <w:trPr>
          <w:trHeight w:val="520" w:hRule="exact"/>
        </w:trPr>
        <w:tc>
          <w:tcPr>
            <w:tcW w:w="2880" w:type="dxa"/>
            <w:tcBorders>
              <w:top w:val="single" w:sz="2" w:space="0" w:color="000000"/>
              <w:start w:val="single" w:sz="12" w:space="0" w:color="000000"/>
              <w:bottom w:val="single" w:sz="2" w:space="0" w:color="000000"/>
              <w:end w:val="single" w:sz="2" w:space="0" w:color="000000"/>
            </w:tcBorders>
          </w:tcPr>
          <w:p>
            <w:pPr>
              <w:pStyle w:val="Normal"/>
              <w:spacing w:before="120" w:after="0"/>
              <w:rPr>
                <w:rFonts w:ascii="Arial" w:hAnsi="Arial" w:cs="Arial"/>
                <w:color w:val="000000"/>
              </w:rPr>
            </w:pPr>
            <w:r>
              <w:rPr>
                <w:rFonts w:cs="Arial" w:ascii="Arial" w:hAnsi="Arial"/>
                <w:color w:val="000000"/>
              </w:rPr>
              <w:t>Southwestern Public Service</w:t>
            </w:r>
          </w:p>
        </w:tc>
        <w:tc>
          <w:tcPr>
            <w:tcW w:w="1080"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120" w:after="0"/>
              <w:ind w:start="288" w:end="0"/>
              <w:rPr>
                <w:rFonts w:ascii="Arial" w:hAnsi="Arial" w:cs="Arial"/>
                <w:color w:val="000000"/>
                <w:sz w:val="18"/>
              </w:rPr>
            </w:pPr>
            <w:r>
              <w:rPr>
                <w:rFonts w:cs="Arial" w:ascii="Arial" w:hAnsi="Arial"/>
                <w:color w:val="000000"/>
                <w:sz w:val="18"/>
              </w:rPr>
              <w:t>Filed</w:t>
            </w:r>
          </w:p>
        </w:tc>
        <w:tc>
          <w:tcPr>
            <w:tcW w:w="1109"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0"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jc w:val="center"/>
              <w:rPr>
                <w:rFonts w:ascii="Arial" w:hAnsi="Arial" w:cs="Arial"/>
                <w:color w:val="000000"/>
                <w:sz w:val="18"/>
              </w:rPr>
            </w:pPr>
            <w:r>
              <w:rPr>
                <w:rFonts w:cs="Arial" w:ascii="Arial" w:hAnsi="Arial"/>
                <w:color w:val="000000"/>
                <w:sz w:val="18"/>
              </w:rPr>
              <w:t>Proposed</w:t>
            </w:r>
          </w:p>
          <w:p>
            <w:pPr>
              <w:pStyle w:val="Normal"/>
              <w:jc w:val="center"/>
              <w:rPr>
                <w:rFonts w:ascii="Arial" w:hAnsi="Arial" w:cs="Arial"/>
                <w:color w:val="000000"/>
                <w:sz w:val="18"/>
              </w:rPr>
            </w:pPr>
            <w:r>
              <w:rPr>
                <w:rFonts w:cs="Arial" w:ascii="Arial" w:hAnsi="Arial"/>
                <w:color w:val="000000"/>
                <w:sz w:val="18"/>
              </w:rPr>
              <w:t>Decision</w:t>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40" w:after="0"/>
              <w:ind w:start="288" w:end="0"/>
              <w:rPr>
                <w:rFonts w:ascii="Arial" w:hAnsi="Arial" w:cs="Arial"/>
                <w:color w:val="000000"/>
                <w:sz w:val="18"/>
              </w:rPr>
            </w:pPr>
            <w:r>
              <w:rPr>
                <w:rFonts w:cs="Arial" w:ascii="Arial" w:hAnsi="Arial"/>
                <w:color w:val="000000"/>
                <w:sz w:val="18"/>
              </w:rPr>
              <w:t xml:space="preserve">Interim </w:t>
              <w:br/>
              <w:t>Order</w:t>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40" w:after="0"/>
              <w:jc w:val="center"/>
              <w:rPr>
                <w:rFonts w:ascii="Arial" w:hAnsi="Arial" w:cs="Arial"/>
                <w:color w:val="000000"/>
                <w:sz w:val="18"/>
              </w:rPr>
            </w:pPr>
            <w:r>
              <w:rPr>
                <w:rFonts w:cs="Arial" w:ascii="Arial" w:hAnsi="Arial"/>
                <w:color w:val="000000"/>
                <w:sz w:val="18"/>
              </w:rPr>
              <w:t>Scheduled Completion</w:t>
            </w:r>
          </w:p>
        </w:tc>
        <w:tc>
          <w:tcPr>
            <w:tcW w:w="1121" w:type="dxa"/>
            <w:tcBorders>
              <w:top w:val="single" w:sz="2" w:space="0" w:color="000000"/>
              <w:start w:val="single" w:sz="2" w:space="0" w:color="000000"/>
              <w:bottom w:val="single" w:sz="2" w:space="0" w:color="000000"/>
              <w:end w:val="single" w:sz="12" w:space="0" w:color="000000"/>
            </w:tcBorders>
          </w:tcPr>
          <w:p>
            <w:pPr>
              <w:pStyle w:val="Normal"/>
              <w:snapToGrid w:val="false"/>
              <w:rPr>
                <w:rFonts w:ascii="Arial" w:hAnsi="Arial" w:cs="Arial"/>
                <w:color w:val="000000"/>
                <w:sz w:val="18"/>
              </w:rPr>
            </w:pPr>
            <w:r>
              <w:rPr>
                <w:rFonts w:cs="Arial" w:ascii="Arial" w:hAnsi="Arial"/>
                <w:color w:val="000000"/>
                <w:sz w:val="18"/>
              </w:rPr>
            </w:r>
          </w:p>
        </w:tc>
      </w:tr>
      <w:tr>
        <w:trPr>
          <w:trHeight w:val="520" w:hRule="exact"/>
        </w:trPr>
        <w:tc>
          <w:tcPr>
            <w:tcW w:w="2880" w:type="dxa"/>
            <w:tcBorders>
              <w:top w:val="single" w:sz="2" w:space="0" w:color="000000"/>
              <w:start w:val="single" w:sz="12" w:space="0" w:color="000000"/>
              <w:bottom w:val="single" w:sz="2" w:space="0" w:color="000000"/>
              <w:end w:val="single" w:sz="2" w:space="0" w:color="000000"/>
            </w:tcBorders>
          </w:tcPr>
          <w:p>
            <w:pPr>
              <w:pStyle w:val="Normal"/>
              <w:spacing w:before="120" w:after="0"/>
              <w:rPr>
                <w:rFonts w:ascii="Arial" w:hAnsi="Arial" w:cs="Arial"/>
                <w:color w:val="000000"/>
              </w:rPr>
            </w:pPr>
            <w:r>
              <w:rPr>
                <w:rFonts w:cs="Arial" w:ascii="Arial" w:hAnsi="Arial"/>
                <w:color w:val="000000"/>
              </w:rPr>
              <w:t>Texas-New Mexico Power</w:t>
            </w:r>
          </w:p>
        </w:tc>
        <w:tc>
          <w:tcPr>
            <w:tcW w:w="1080"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23" w:type="dxa"/>
            <w:tcBorders>
              <w:top w:val="single" w:sz="2" w:space="0" w:color="000000"/>
              <w:start w:val="single" w:sz="2" w:space="0" w:color="000000"/>
              <w:bottom w:val="single" w:sz="2" w:space="0" w:color="000000"/>
              <w:end w:val="single" w:sz="2" w:space="0" w:color="000000"/>
            </w:tcBorders>
          </w:tcPr>
          <w:p>
            <w:pPr>
              <w:pStyle w:val="Normal"/>
              <w:snapToGrid w:val="false"/>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120" w:after="0"/>
              <w:ind w:start="288" w:end="0"/>
              <w:rPr>
                <w:rFonts w:ascii="Arial" w:hAnsi="Arial" w:cs="Arial"/>
                <w:color w:val="000000"/>
                <w:sz w:val="18"/>
              </w:rPr>
            </w:pPr>
            <w:r>
              <w:rPr>
                <w:rFonts w:cs="Arial" w:ascii="Arial" w:hAnsi="Arial"/>
                <w:color w:val="000000"/>
                <w:sz w:val="18"/>
              </w:rPr>
              <w:t>Filed</w:t>
            </w:r>
          </w:p>
        </w:tc>
        <w:tc>
          <w:tcPr>
            <w:tcW w:w="1109"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0" w:type="dxa"/>
            <w:tcBorders>
              <w:top w:val="single" w:sz="2" w:space="0" w:color="000000"/>
              <w:start w:val="single" w:sz="2" w:space="0" w:color="000000"/>
              <w:bottom w:val="single" w:sz="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jc w:val="center"/>
              <w:rPr>
                <w:rFonts w:ascii="Arial" w:hAnsi="Arial" w:cs="Arial"/>
                <w:color w:val="000000"/>
                <w:sz w:val="18"/>
              </w:rPr>
            </w:pPr>
            <w:r>
              <w:rPr>
                <w:rFonts w:cs="Arial" w:ascii="Arial" w:hAnsi="Arial"/>
                <w:color w:val="000000"/>
                <w:sz w:val="18"/>
              </w:rPr>
              <w:t>Proposed</w:t>
            </w:r>
          </w:p>
          <w:p>
            <w:pPr>
              <w:pStyle w:val="Normal"/>
              <w:jc w:val="center"/>
              <w:rPr>
                <w:rFonts w:ascii="Arial" w:hAnsi="Arial" w:cs="Arial"/>
                <w:color w:val="000000"/>
                <w:sz w:val="18"/>
              </w:rPr>
            </w:pPr>
            <w:r>
              <w:rPr>
                <w:rFonts w:cs="Arial" w:ascii="Arial" w:hAnsi="Arial"/>
                <w:color w:val="000000"/>
                <w:sz w:val="18"/>
              </w:rPr>
              <w:t>Decision</w:t>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40" w:after="0"/>
              <w:ind w:start="288" w:end="0"/>
              <w:rPr>
                <w:rFonts w:ascii="Arial" w:hAnsi="Arial" w:cs="Arial"/>
                <w:color w:val="000000"/>
                <w:sz w:val="18"/>
              </w:rPr>
            </w:pPr>
            <w:r>
              <w:rPr>
                <w:rFonts w:cs="Arial" w:ascii="Arial" w:hAnsi="Arial"/>
                <w:color w:val="000000"/>
                <w:sz w:val="18"/>
              </w:rPr>
              <w:t xml:space="preserve">Interim </w:t>
              <w:br/>
              <w:t>Order</w:t>
            </w:r>
          </w:p>
        </w:tc>
        <w:tc>
          <w:tcPr>
            <w:tcW w:w="1121" w:type="dxa"/>
            <w:tcBorders>
              <w:top w:val="single" w:sz="2" w:space="0" w:color="000000"/>
              <w:start w:val="single" w:sz="2" w:space="0" w:color="000000"/>
              <w:bottom w:val="single" w:sz="2" w:space="0" w:color="000000"/>
              <w:end w:val="single" w:sz="2" w:space="0" w:color="000000"/>
            </w:tcBorders>
            <w:shd w:fill="00FFFF" w:val="clear"/>
          </w:tcPr>
          <w:p>
            <w:pPr>
              <w:pStyle w:val="Normal"/>
              <w:spacing w:before="40" w:after="0"/>
              <w:jc w:val="center"/>
              <w:rPr>
                <w:rFonts w:ascii="Arial" w:hAnsi="Arial" w:cs="Arial"/>
                <w:color w:val="000000"/>
                <w:sz w:val="18"/>
              </w:rPr>
            </w:pPr>
            <w:r>
              <w:rPr>
                <w:rFonts w:cs="Arial" w:ascii="Arial" w:hAnsi="Arial"/>
                <w:color w:val="000000"/>
                <w:sz w:val="18"/>
              </w:rPr>
              <w:t>Scheduled Completion</w:t>
            </w:r>
          </w:p>
        </w:tc>
        <w:tc>
          <w:tcPr>
            <w:tcW w:w="1121" w:type="dxa"/>
            <w:tcBorders>
              <w:top w:val="single" w:sz="2" w:space="0" w:color="000000"/>
              <w:start w:val="single" w:sz="2" w:space="0" w:color="000000"/>
              <w:bottom w:val="single" w:sz="2" w:space="0" w:color="000000"/>
              <w:end w:val="single" w:sz="12" w:space="0" w:color="000000"/>
            </w:tcBorders>
          </w:tcPr>
          <w:p>
            <w:pPr>
              <w:pStyle w:val="Normal"/>
              <w:snapToGrid w:val="false"/>
              <w:rPr>
                <w:rFonts w:ascii="Arial" w:hAnsi="Arial" w:cs="Arial"/>
                <w:color w:val="000000"/>
                <w:sz w:val="18"/>
              </w:rPr>
            </w:pPr>
            <w:r>
              <w:rPr>
                <w:rFonts w:cs="Arial" w:ascii="Arial" w:hAnsi="Arial"/>
                <w:color w:val="000000"/>
                <w:sz w:val="18"/>
              </w:rPr>
            </w:r>
          </w:p>
        </w:tc>
      </w:tr>
      <w:tr>
        <w:trPr>
          <w:trHeight w:val="520" w:hRule="exact"/>
        </w:trPr>
        <w:tc>
          <w:tcPr>
            <w:tcW w:w="2880" w:type="dxa"/>
            <w:tcBorders>
              <w:top w:val="single" w:sz="2" w:space="0" w:color="000000"/>
              <w:start w:val="single" w:sz="12" w:space="0" w:color="000000"/>
              <w:bottom w:val="single" w:sz="12" w:space="0" w:color="000000"/>
              <w:end w:val="single" w:sz="2" w:space="0" w:color="000000"/>
            </w:tcBorders>
          </w:tcPr>
          <w:p>
            <w:pPr>
              <w:pStyle w:val="Normal"/>
              <w:spacing w:before="120" w:after="0"/>
              <w:rPr>
                <w:rFonts w:ascii="Arial" w:hAnsi="Arial" w:cs="Arial"/>
                <w:color w:val="000000"/>
              </w:rPr>
            </w:pPr>
            <w:r>
              <w:rPr>
                <w:rFonts w:cs="Arial" w:ascii="Arial" w:hAnsi="Arial"/>
                <w:color w:val="000000"/>
              </w:rPr>
              <w:t>Sharyland Utilities</w:t>
            </w:r>
          </w:p>
        </w:tc>
        <w:tc>
          <w:tcPr>
            <w:tcW w:w="1080" w:type="dxa"/>
            <w:tcBorders>
              <w:top w:val="single" w:sz="2" w:space="0" w:color="000000"/>
              <w:start w:val="single" w:sz="2" w:space="0" w:color="000000"/>
              <w:bottom w:val="single" w:sz="1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23" w:type="dxa"/>
            <w:tcBorders>
              <w:top w:val="single" w:sz="2" w:space="0" w:color="000000"/>
              <w:start w:val="single" w:sz="2" w:space="0" w:color="000000"/>
              <w:bottom w:val="single" w:sz="12" w:space="0" w:color="000000"/>
              <w:end w:val="single" w:sz="2" w:space="0" w:color="000000"/>
            </w:tcBorders>
          </w:tcPr>
          <w:p>
            <w:pPr>
              <w:pStyle w:val="Normal"/>
              <w:snapToGrid w:val="false"/>
              <w:jc w:val="end"/>
              <w:rPr>
                <w:rFonts w:ascii="Arial" w:hAnsi="Arial" w:cs="Arial"/>
                <w:color w:val="000000"/>
                <w:sz w:val="18"/>
              </w:rPr>
            </w:pPr>
            <w:r>
              <w:rPr>
                <w:rFonts w:cs="Arial" w:ascii="Arial" w:hAnsi="Arial"/>
                <w:color w:val="000000"/>
                <w:sz w:val="18"/>
              </w:rPr>
            </w:r>
          </w:p>
        </w:tc>
        <w:tc>
          <w:tcPr>
            <w:tcW w:w="1109" w:type="dxa"/>
            <w:tcBorders>
              <w:top w:val="single" w:sz="2" w:space="0" w:color="000000"/>
              <w:start w:val="single" w:sz="2" w:space="0" w:color="000000"/>
              <w:bottom w:val="single" w:sz="12" w:space="0" w:color="000000"/>
              <w:end w:val="single" w:sz="2" w:space="0" w:color="000000"/>
            </w:tcBorders>
            <w:shd w:fill="00FFFF" w:val="clear"/>
          </w:tcPr>
          <w:p>
            <w:pPr>
              <w:pStyle w:val="Normal"/>
              <w:spacing w:before="120" w:after="0"/>
              <w:ind w:start="288" w:end="0"/>
              <w:rPr>
                <w:rFonts w:ascii="Arial" w:hAnsi="Arial" w:cs="Arial"/>
                <w:color w:val="000000"/>
                <w:sz w:val="18"/>
              </w:rPr>
            </w:pPr>
            <w:r>
              <w:rPr>
                <w:rFonts w:cs="Arial" w:ascii="Arial" w:hAnsi="Arial"/>
                <w:color w:val="000000"/>
                <w:sz w:val="18"/>
              </w:rPr>
              <w:t>Filed</w:t>
            </w:r>
          </w:p>
        </w:tc>
        <w:tc>
          <w:tcPr>
            <w:tcW w:w="1109" w:type="dxa"/>
            <w:tcBorders>
              <w:top w:val="single" w:sz="2" w:space="0" w:color="000000"/>
              <w:start w:val="single" w:sz="2" w:space="0" w:color="000000"/>
              <w:bottom w:val="single" w:sz="1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1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0" w:type="dxa"/>
            <w:tcBorders>
              <w:top w:val="single" w:sz="2" w:space="0" w:color="000000"/>
              <w:start w:val="single" w:sz="2" w:space="0" w:color="000000"/>
              <w:bottom w:val="single" w:sz="12" w:space="0" w:color="000000"/>
              <w:end w:val="single" w:sz="2" w:space="0" w:color="000000"/>
            </w:tcBorders>
            <w:shd w:fill="00FFFF" w:val="clear"/>
          </w:tcPr>
          <w:p>
            <w:pPr>
              <w:pStyle w:val="Normal"/>
              <w:snapToGrid w:val="false"/>
              <w:jc w:val="end"/>
              <w:rPr>
                <w:rFonts w:ascii="Arial" w:hAnsi="Arial" w:cs="Arial"/>
                <w:color w:val="000000"/>
                <w:sz w:val="18"/>
              </w:rPr>
            </w:pPr>
            <w:r>
              <w:rPr>
                <w:rFonts w:cs="Arial" w:ascii="Arial" w:hAnsi="Arial"/>
                <w:color w:val="000000"/>
                <w:sz w:val="18"/>
              </w:rPr>
            </w:r>
          </w:p>
        </w:tc>
        <w:tc>
          <w:tcPr>
            <w:tcW w:w="1121" w:type="dxa"/>
            <w:tcBorders>
              <w:top w:val="single" w:sz="2" w:space="0" w:color="000000"/>
              <w:start w:val="single" w:sz="2" w:space="0" w:color="000000"/>
              <w:bottom w:val="single" w:sz="12" w:space="0" w:color="000000"/>
              <w:end w:val="single" w:sz="2" w:space="0" w:color="000000"/>
            </w:tcBorders>
            <w:shd w:fill="00FFFF" w:val="clear"/>
          </w:tcPr>
          <w:p>
            <w:pPr>
              <w:pStyle w:val="Normal"/>
              <w:jc w:val="center"/>
              <w:rPr>
                <w:rFonts w:ascii="Arial" w:hAnsi="Arial" w:cs="Arial"/>
                <w:color w:val="000000"/>
                <w:sz w:val="18"/>
              </w:rPr>
            </w:pPr>
            <w:r>
              <w:rPr>
                <w:rFonts w:cs="Arial" w:ascii="Arial" w:hAnsi="Arial"/>
                <w:color w:val="000000"/>
                <w:sz w:val="18"/>
              </w:rPr>
              <w:t>Proposed</w:t>
            </w:r>
          </w:p>
          <w:p>
            <w:pPr>
              <w:pStyle w:val="Normal"/>
              <w:jc w:val="center"/>
              <w:rPr>
                <w:rFonts w:ascii="Arial" w:hAnsi="Arial" w:cs="Arial"/>
                <w:color w:val="000000"/>
                <w:sz w:val="18"/>
              </w:rPr>
            </w:pPr>
            <w:r>
              <w:rPr>
                <w:rFonts w:cs="Arial" w:ascii="Arial" w:hAnsi="Arial"/>
                <w:color w:val="000000"/>
                <w:sz w:val="18"/>
              </w:rPr>
              <w:t>Decision</w:t>
            </w:r>
          </w:p>
        </w:tc>
        <w:tc>
          <w:tcPr>
            <w:tcW w:w="1121" w:type="dxa"/>
            <w:tcBorders>
              <w:top w:val="single" w:sz="2" w:space="0" w:color="000000"/>
              <w:start w:val="single" w:sz="2" w:space="0" w:color="000000"/>
              <w:bottom w:val="single" w:sz="12" w:space="0" w:color="000000"/>
              <w:end w:val="single" w:sz="2" w:space="0" w:color="000000"/>
            </w:tcBorders>
            <w:shd w:fill="00FFFF" w:val="clear"/>
          </w:tcPr>
          <w:p>
            <w:pPr>
              <w:pStyle w:val="Normal"/>
              <w:spacing w:before="40" w:after="0"/>
              <w:ind w:start="288" w:end="0"/>
              <w:rPr>
                <w:rFonts w:ascii="Arial" w:hAnsi="Arial" w:cs="Arial"/>
                <w:color w:val="000000"/>
                <w:sz w:val="18"/>
              </w:rPr>
            </w:pPr>
            <w:r>
              <w:rPr>
                <w:rFonts w:cs="Arial" w:ascii="Arial" w:hAnsi="Arial"/>
                <w:color w:val="000000"/>
                <w:sz w:val="18"/>
              </w:rPr>
              <w:t xml:space="preserve">Interim </w:t>
              <w:br/>
              <w:t>Order</w:t>
            </w:r>
          </w:p>
        </w:tc>
        <w:tc>
          <w:tcPr>
            <w:tcW w:w="1121" w:type="dxa"/>
            <w:tcBorders>
              <w:top w:val="single" w:sz="2" w:space="0" w:color="000000"/>
              <w:start w:val="single" w:sz="2" w:space="0" w:color="000000"/>
              <w:bottom w:val="single" w:sz="12" w:space="0" w:color="000000"/>
              <w:end w:val="single" w:sz="2" w:space="0" w:color="000000"/>
            </w:tcBorders>
            <w:shd w:fill="00FFFF" w:val="clear"/>
          </w:tcPr>
          <w:p>
            <w:pPr>
              <w:pStyle w:val="Normal"/>
              <w:spacing w:before="40" w:after="0"/>
              <w:jc w:val="center"/>
              <w:rPr>
                <w:rFonts w:ascii="Arial" w:hAnsi="Arial" w:cs="Arial"/>
                <w:color w:val="000000"/>
                <w:sz w:val="18"/>
              </w:rPr>
            </w:pPr>
            <w:r>
              <w:rPr>
                <w:rFonts w:cs="Arial" w:ascii="Arial" w:hAnsi="Arial"/>
                <w:color w:val="000000"/>
                <w:sz w:val="18"/>
              </w:rPr>
              <w:t>Scheduled Completion</w:t>
            </w:r>
          </w:p>
        </w:tc>
        <w:tc>
          <w:tcPr>
            <w:tcW w:w="1121" w:type="dxa"/>
            <w:tcBorders>
              <w:top w:val="single" w:sz="2" w:space="0" w:color="000000"/>
              <w:start w:val="single" w:sz="2" w:space="0" w:color="000000"/>
              <w:bottom w:val="single" w:sz="12" w:space="0" w:color="000000"/>
              <w:end w:val="single" w:sz="12" w:space="0" w:color="000000"/>
            </w:tcBorders>
          </w:tcPr>
          <w:p>
            <w:pPr>
              <w:pStyle w:val="Normal"/>
              <w:snapToGrid w:val="false"/>
              <w:rPr>
                <w:rFonts w:ascii="Arial" w:hAnsi="Arial" w:cs="Arial"/>
                <w:color w:val="000000"/>
                <w:sz w:val="18"/>
              </w:rPr>
            </w:pPr>
            <w:r>
              <w:rPr>
                <w:rFonts w:cs="Arial" w:ascii="Arial" w:hAnsi="Arial"/>
                <w:color w:val="000000"/>
                <w:sz w:val="18"/>
              </w:rPr>
            </w:r>
          </w:p>
        </w:tc>
      </w:tr>
    </w:tbl>
    <w:p>
      <w:pPr>
        <w:pStyle w:val="Normal"/>
        <w:rPr/>
      </w:pPr>
      <w:r>
        <w:rPr/>
      </w:r>
    </w:p>
    <w:p>
      <w:pPr>
        <w:pStyle w:val="Normal"/>
        <w:rPr/>
      </w:pPr>
      <w:r>
        <w:rPr/>
      </w:r>
    </w:p>
    <w:p>
      <w:pPr>
        <w:pStyle w:val="Style11"/>
        <w:ind w:hanging="0" w:end="0"/>
        <w:rPr/>
      </w:pPr>
      <w:r>
        <w:rPr/>
        <w:t xml:space="preserve">Five utilities filed estimates of their stranded costs (ECOM) as part of their Unbundled Cost Of Service (UCOS) filings—TXU Electric (TXU), Reliant Energy, Central Power and Light Company (CPL), Texas-New Mexico Power Company (TNMP), and Entergy Gulf States.  The following Table summarizes the estimated ECOM amounts for the year 2002 as filed by the utilities using the assumptions mandated by the Commission.  This table shows the Commission ECOM estimates for each company from the 1998 report and the estimates of ECOM that the companies originally included in their UCOS filings.  The Commission updated its natural gas projections during the summer of 2000, and the third column shows the revised estimates (prepared by the utilities) reflecting the Commission’s updated gas-price forecast.  The final column represents the stranded cost estimate as directed by the TPUC and the SOAH resulting from the respective utility’s UCOS filing. </w:t>
      </w:r>
    </w:p>
    <w:p>
      <w:pPr>
        <w:pStyle w:val="Normal"/>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976"/>
        <w:gridCol w:w="1972"/>
        <w:gridCol w:w="1908"/>
        <w:gridCol w:w="2042"/>
        <w:gridCol w:w="1958"/>
      </w:tblGrid>
      <w:tr>
        <w:trPr/>
        <w:tc>
          <w:tcPr>
            <w:tcW w:w="8856" w:type="dxa"/>
            <w:gridSpan w:val="5"/>
            <w:tcBorders>
              <w:top w:val="single" w:sz="4" w:space="0" w:color="000000"/>
              <w:start w:val="single" w:sz="4" w:space="0" w:color="000000"/>
              <w:bottom w:val="single" w:sz="4" w:space="0" w:color="000000"/>
              <w:end w:val="single" w:sz="4" w:space="0" w:color="000000"/>
            </w:tcBorders>
          </w:tcPr>
          <w:p>
            <w:pPr>
              <w:pStyle w:val="Style21"/>
              <w:spacing w:before="240" w:after="240"/>
              <w:jc w:val="center"/>
              <w:rPr>
                <w:b/>
              </w:rPr>
            </w:pPr>
            <w:r>
              <w:rPr>
                <w:b/>
              </w:rPr>
              <w:t xml:space="preserve">ECOM Estimates for 2002 Retail Access </w:t>
              <w:br/>
              <w:t>($ in millions)</w:t>
            </w:r>
          </w:p>
        </w:tc>
      </w:tr>
      <w:tr>
        <w:trPr/>
        <w:tc>
          <w:tcPr>
            <w:tcW w:w="976" w:type="dxa"/>
            <w:tcBorders>
              <w:top w:val="single" w:sz="4" w:space="0" w:color="000000"/>
              <w:start w:val="single" w:sz="4" w:space="0" w:color="000000"/>
              <w:bottom w:val="single" w:sz="4" w:space="0" w:color="000000"/>
              <w:end w:val="single" w:sz="4" w:space="0" w:color="000000"/>
            </w:tcBorders>
          </w:tcPr>
          <w:p>
            <w:pPr>
              <w:pStyle w:val="Style11"/>
              <w:spacing w:before="60" w:after="60"/>
              <w:ind w:hanging="0" w:end="0"/>
              <w:rPr>
                <w:b/>
              </w:rPr>
            </w:pPr>
            <w:r>
              <w:rPr>
                <w:b/>
              </w:rPr>
              <w:t>Utility</w:t>
            </w:r>
          </w:p>
        </w:tc>
        <w:tc>
          <w:tcPr>
            <w:tcW w:w="1972" w:type="dxa"/>
            <w:tcBorders>
              <w:top w:val="single" w:sz="4" w:space="0" w:color="000000"/>
              <w:start w:val="single" w:sz="4" w:space="0" w:color="000000"/>
              <w:bottom w:val="single" w:sz="4" w:space="0" w:color="000000"/>
              <w:end w:val="single" w:sz="4" w:space="0" w:color="000000"/>
            </w:tcBorders>
          </w:tcPr>
          <w:p>
            <w:pPr>
              <w:pStyle w:val="Style11"/>
              <w:spacing w:before="60" w:after="60"/>
              <w:ind w:hanging="0" w:end="0"/>
              <w:jc w:val="center"/>
              <w:rPr>
                <w:b/>
              </w:rPr>
            </w:pPr>
            <w:r>
              <w:rPr>
                <w:b/>
              </w:rPr>
              <w:t>1998 ECOM Estimate</w:t>
            </w:r>
          </w:p>
        </w:tc>
        <w:tc>
          <w:tcPr>
            <w:tcW w:w="1908" w:type="dxa"/>
            <w:tcBorders>
              <w:top w:val="single" w:sz="4" w:space="0" w:color="000000"/>
              <w:start w:val="single" w:sz="4" w:space="0" w:color="000000"/>
              <w:bottom w:val="single" w:sz="4" w:space="0" w:color="000000"/>
              <w:end w:val="single" w:sz="4" w:space="0" w:color="000000"/>
            </w:tcBorders>
          </w:tcPr>
          <w:p>
            <w:pPr>
              <w:pStyle w:val="Style11"/>
              <w:spacing w:before="60" w:after="60"/>
              <w:ind w:hanging="0" w:end="0"/>
              <w:jc w:val="center"/>
              <w:rPr>
                <w:b/>
              </w:rPr>
            </w:pPr>
            <w:r>
              <w:rPr>
                <w:b/>
              </w:rPr>
              <w:t>Initial UCOS Filing</w:t>
            </w:r>
          </w:p>
        </w:tc>
        <w:tc>
          <w:tcPr>
            <w:tcW w:w="2042" w:type="dxa"/>
            <w:tcBorders>
              <w:top w:val="single" w:sz="4" w:space="0" w:color="000000"/>
              <w:start w:val="single" w:sz="4" w:space="0" w:color="000000"/>
              <w:bottom w:val="single" w:sz="4" w:space="0" w:color="000000"/>
              <w:end w:val="single" w:sz="4" w:space="0" w:color="000000"/>
            </w:tcBorders>
          </w:tcPr>
          <w:p>
            <w:pPr>
              <w:pStyle w:val="Style11"/>
              <w:spacing w:before="60" w:after="60"/>
              <w:ind w:hanging="0" w:end="0"/>
              <w:jc w:val="center"/>
              <w:rPr>
                <w:b/>
              </w:rPr>
            </w:pPr>
            <w:r>
              <w:rPr>
                <w:b/>
              </w:rPr>
              <w:t>Revised UCOS Filing</w:t>
            </w:r>
          </w:p>
        </w:tc>
        <w:tc>
          <w:tcPr>
            <w:tcW w:w="1958" w:type="dxa"/>
            <w:tcBorders>
              <w:top w:val="single" w:sz="4" w:space="0" w:color="000000"/>
              <w:start w:val="single" w:sz="4" w:space="0" w:color="000000"/>
              <w:bottom w:val="single" w:sz="4" w:space="0" w:color="000000"/>
              <w:end w:val="single" w:sz="4" w:space="0" w:color="000000"/>
            </w:tcBorders>
          </w:tcPr>
          <w:p>
            <w:pPr>
              <w:pStyle w:val="Style11"/>
              <w:spacing w:before="60" w:after="60"/>
              <w:ind w:hanging="0" w:end="0"/>
              <w:jc w:val="center"/>
              <w:rPr>
                <w:b/>
              </w:rPr>
            </w:pPr>
            <w:r>
              <w:rPr>
                <w:b/>
              </w:rPr>
              <w:t>Final</w:t>
            </w:r>
          </w:p>
        </w:tc>
      </w:tr>
      <w:tr>
        <w:trPr/>
        <w:tc>
          <w:tcPr>
            <w:tcW w:w="976" w:type="dxa"/>
            <w:tcBorders>
              <w:top w:val="single" w:sz="4" w:space="0" w:color="000000"/>
              <w:start w:val="single" w:sz="4" w:space="0" w:color="000000"/>
              <w:bottom w:val="single" w:sz="4" w:space="0" w:color="000000"/>
              <w:end w:val="single" w:sz="4" w:space="0" w:color="000000"/>
            </w:tcBorders>
          </w:tcPr>
          <w:p>
            <w:pPr>
              <w:pStyle w:val="Style11"/>
              <w:spacing w:before="60" w:after="60"/>
              <w:ind w:hanging="0" w:end="0"/>
              <w:rPr/>
            </w:pPr>
            <w:r>
              <w:rPr/>
              <w:t>TXU</w:t>
            </w:r>
          </w:p>
        </w:tc>
        <w:tc>
          <w:tcPr>
            <w:tcW w:w="1972"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062" w:leader="none"/>
              </w:tabs>
              <w:spacing w:before="60" w:after="60"/>
              <w:ind w:hanging="0" w:end="0"/>
              <w:rPr/>
            </w:pPr>
            <w:r>
              <w:rPr/>
              <w:t>1,058</w:t>
            </w:r>
          </w:p>
        </w:tc>
        <w:tc>
          <w:tcPr>
            <w:tcW w:w="1908"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242" w:leader="none"/>
              </w:tabs>
              <w:spacing w:before="60" w:after="60"/>
              <w:ind w:hanging="0" w:end="0"/>
              <w:rPr/>
            </w:pPr>
            <w:r>
              <w:rPr/>
              <w:t>1,354</w:t>
            </w:r>
          </w:p>
        </w:tc>
        <w:tc>
          <w:tcPr>
            <w:tcW w:w="2042"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242" w:leader="none"/>
              </w:tabs>
              <w:spacing w:before="60" w:after="60"/>
              <w:ind w:hanging="0" w:end="0"/>
              <w:rPr/>
            </w:pPr>
            <w:r>
              <w:rPr/>
              <w:t>(1,454)</w:t>
            </w:r>
          </w:p>
        </w:tc>
        <w:tc>
          <w:tcPr>
            <w:tcW w:w="1958"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242" w:leader="none"/>
              </w:tabs>
              <w:spacing w:before="60" w:after="60"/>
              <w:ind w:hanging="0" w:end="0"/>
              <w:rPr>
                <w:bCs/>
              </w:rPr>
            </w:pPr>
            <w:r>
              <w:rPr>
                <w:bCs/>
              </w:rPr>
              <w:t>(2.744)</w:t>
            </w:r>
          </w:p>
        </w:tc>
      </w:tr>
      <w:tr>
        <w:trPr/>
        <w:tc>
          <w:tcPr>
            <w:tcW w:w="976" w:type="dxa"/>
            <w:tcBorders>
              <w:top w:val="single" w:sz="4" w:space="0" w:color="000000"/>
              <w:start w:val="single" w:sz="4" w:space="0" w:color="000000"/>
              <w:bottom w:val="single" w:sz="4" w:space="0" w:color="000000"/>
              <w:end w:val="single" w:sz="4" w:space="0" w:color="000000"/>
            </w:tcBorders>
          </w:tcPr>
          <w:p>
            <w:pPr>
              <w:pStyle w:val="Style11"/>
              <w:spacing w:before="60" w:after="60"/>
              <w:ind w:hanging="0" w:end="0"/>
              <w:rPr/>
            </w:pPr>
            <w:r>
              <w:rPr/>
              <w:t>Reliant</w:t>
            </w:r>
          </w:p>
        </w:tc>
        <w:tc>
          <w:tcPr>
            <w:tcW w:w="1972"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062" w:leader="none"/>
              </w:tabs>
              <w:spacing w:before="60" w:after="60"/>
              <w:ind w:hanging="0" w:end="0"/>
              <w:rPr/>
            </w:pPr>
            <w:r>
              <w:rPr/>
              <w:t>1,249</w:t>
            </w:r>
          </w:p>
        </w:tc>
        <w:tc>
          <w:tcPr>
            <w:tcW w:w="1908"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242" w:leader="none"/>
              </w:tabs>
              <w:spacing w:before="60" w:after="60"/>
              <w:ind w:hanging="0" w:end="0"/>
              <w:rPr/>
            </w:pPr>
            <w:r>
              <w:rPr/>
              <w:t>815</w:t>
            </w:r>
          </w:p>
        </w:tc>
        <w:tc>
          <w:tcPr>
            <w:tcW w:w="2042"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242" w:leader="none"/>
              </w:tabs>
              <w:spacing w:before="60" w:after="60"/>
              <w:ind w:hanging="0" w:end="0"/>
              <w:rPr/>
            </w:pPr>
            <w:r>
              <w:rPr/>
              <w:t>16</w:t>
            </w:r>
          </w:p>
        </w:tc>
        <w:tc>
          <w:tcPr>
            <w:tcW w:w="1958"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242" w:leader="none"/>
              </w:tabs>
              <w:spacing w:before="60" w:after="60"/>
              <w:ind w:hanging="0" w:end="0"/>
              <w:rPr>
                <w:bCs/>
              </w:rPr>
            </w:pPr>
            <w:r>
              <w:rPr>
                <w:bCs/>
              </w:rPr>
              <w:t>(2,600)</w:t>
            </w:r>
          </w:p>
        </w:tc>
      </w:tr>
      <w:tr>
        <w:trPr/>
        <w:tc>
          <w:tcPr>
            <w:tcW w:w="976" w:type="dxa"/>
            <w:tcBorders>
              <w:top w:val="single" w:sz="4" w:space="0" w:color="000000"/>
              <w:start w:val="single" w:sz="4" w:space="0" w:color="000000"/>
              <w:bottom w:val="single" w:sz="4" w:space="0" w:color="000000"/>
              <w:end w:val="single" w:sz="4" w:space="0" w:color="000000"/>
            </w:tcBorders>
          </w:tcPr>
          <w:p>
            <w:pPr>
              <w:pStyle w:val="Style11"/>
              <w:spacing w:before="60" w:after="60"/>
              <w:ind w:hanging="0" w:end="0"/>
              <w:rPr/>
            </w:pPr>
            <w:r>
              <w:rPr/>
              <w:t>CPL</w:t>
            </w:r>
          </w:p>
        </w:tc>
        <w:tc>
          <w:tcPr>
            <w:tcW w:w="1972"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062" w:leader="none"/>
              </w:tabs>
              <w:spacing w:before="60" w:after="60"/>
              <w:ind w:hanging="0" w:end="0"/>
              <w:rPr/>
            </w:pPr>
            <w:r>
              <w:rPr/>
              <w:t>1,704</w:t>
            </w:r>
          </w:p>
        </w:tc>
        <w:tc>
          <w:tcPr>
            <w:tcW w:w="1908"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242" w:leader="none"/>
              </w:tabs>
              <w:spacing w:before="60" w:after="60"/>
              <w:ind w:hanging="0" w:end="0"/>
              <w:rPr/>
            </w:pPr>
            <w:r>
              <w:rPr/>
              <w:t>593</w:t>
            </w:r>
          </w:p>
        </w:tc>
        <w:tc>
          <w:tcPr>
            <w:tcW w:w="2042"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242" w:leader="none"/>
              </w:tabs>
              <w:spacing w:before="60" w:after="60"/>
              <w:ind w:hanging="0" w:end="0"/>
              <w:rPr/>
            </w:pPr>
            <w:r>
              <w:rPr/>
              <w:t>367</w:t>
            </w:r>
          </w:p>
        </w:tc>
        <w:tc>
          <w:tcPr>
            <w:tcW w:w="1958"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242" w:leader="none"/>
              </w:tabs>
              <w:spacing w:before="60" w:after="60"/>
              <w:ind w:hanging="0" w:end="0"/>
              <w:rPr/>
            </w:pPr>
            <w:r>
              <w:rPr/>
              <w:t>(660)</w:t>
            </w:r>
          </w:p>
        </w:tc>
      </w:tr>
      <w:tr>
        <w:trPr/>
        <w:tc>
          <w:tcPr>
            <w:tcW w:w="976" w:type="dxa"/>
            <w:tcBorders>
              <w:top w:val="single" w:sz="4" w:space="0" w:color="000000"/>
              <w:start w:val="single" w:sz="4" w:space="0" w:color="000000"/>
              <w:bottom w:val="single" w:sz="4" w:space="0" w:color="000000"/>
              <w:end w:val="single" w:sz="4" w:space="0" w:color="000000"/>
            </w:tcBorders>
          </w:tcPr>
          <w:p>
            <w:pPr>
              <w:pStyle w:val="Style11"/>
              <w:spacing w:before="60" w:after="60"/>
              <w:ind w:hanging="0" w:end="0"/>
              <w:rPr/>
            </w:pPr>
            <w:r>
              <w:rPr/>
              <w:t>TNMP</w:t>
            </w:r>
          </w:p>
        </w:tc>
        <w:tc>
          <w:tcPr>
            <w:tcW w:w="1972"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062" w:leader="none"/>
              </w:tabs>
              <w:spacing w:before="60" w:after="60"/>
              <w:ind w:hanging="0" w:end="0"/>
              <w:rPr/>
            </w:pPr>
            <w:r>
              <w:rPr/>
              <w:t>176</w:t>
            </w:r>
          </w:p>
        </w:tc>
        <w:tc>
          <w:tcPr>
            <w:tcW w:w="1908"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242" w:leader="none"/>
              </w:tabs>
              <w:spacing w:before="60" w:after="60"/>
              <w:ind w:hanging="0" w:end="0"/>
              <w:rPr/>
            </w:pPr>
            <w:r>
              <w:rPr/>
              <w:t>143</w:t>
            </w:r>
          </w:p>
        </w:tc>
        <w:tc>
          <w:tcPr>
            <w:tcW w:w="2042"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242" w:leader="none"/>
              </w:tabs>
              <w:spacing w:before="60" w:after="60"/>
              <w:ind w:hanging="0" w:end="0"/>
              <w:rPr/>
            </w:pPr>
            <w:r>
              <w:rPr/>
              <w:t>210</w:t>
            </w:r>
          </w:p>
        </w:tc>
        <w:tc>
          <w:tcPr>
            <w:tcW w:w="1958"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242" w:leader="none"/>
              </w:tabs>
              <w:spacing w:before="60" w:after="60"/>
              <w:ind w:hanging="0" w:end="0"/>
              <w:rPr/>
            </w:pPr>
            <w:r>
              <w:rPr/>
              <w:t>N/A</w:t>
            </w:r>
          </w:p>
        </w:tc>
      </w:tr>
      <w:tr>
        <w:trPr/>
        <w:tc>
          <w:tcPr>
            <w:tcW w:w="976" w:type="dxa"/>
            <w:tcBorders>
              <w:top w:val="single" w:sz="4" w:space="0" w:color="000000"/>
              <w:start w:val="single" w:sz="4" w:space="0" w:color="000000"/>
              <w:bottom w:val="single" w:sz="4" w:space="0" w:color="000000"/>
              <w:end w:val="single" w:sz="4" w:space="0" w:color="000000"/>
            </w:tcBorders>
          </w:tcPr>
          <w:p>
            <w:pPr>
              <w:pStyle w:val="Style11"/>
              <w:spacing w:before="60" w:after="60"/>
              <w:ind w:hanging="0" w:end="0"/>
              <w:rPr/>
            </w:pPr>
            <w:r>
              <w:rPr/>
              <w:t>Entergy</w:t>
            </w:r>
          </w:p>
        </w:tc>
        <w:tc>
          <w:tcPr>
            <w:tcW w:w="1972"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062" w:leader="none"/>
              </w:tabs>
              <w:spacing w:before="60" w:after="60"/>
              <w:ind w:hanging="0" w:end="0"/>
              <w:rPr/>
            </w:pPr>
            <w:r>
              <w:rPr/>
              <w:t>203</w:t>
            </w:r>
          </w:p>
        </w:tc>
        <w:tc>
          <w:tcPr>
            <w:tcW w:w="1908"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242" w:leader="none"/>
              </w:tabs>
              <w:spacing w:before="60" w:after="60"/>
              <w:ind w:hanging="0" w:end="0"/>
              <w:rPr/>
            </w:pPr>
            <w:r>
              <w:rPr/>
              <w:t>117</w:t>
            </w:r>
          </w:p>
        </w:tc>
        <w:tc>
          <w:tcPr>
            <w:tcW w:w="2042"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242" w:leader="none"/>
              </w:tabs>
              <w:spacing w:before="60" w:after="60"/>
              <w:ind w:hanging="0" w:end="0"/>
              <w:rPr/>
            </w:pPr>
            <w:r>
              <w:rPr/>
              <w:t>119</w:t>
            </w:r>
          </w:p>
        </w:tc>
        <w:tc>
          <w:tcPr>
            <w:tcW w:w="1958"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242" w:leader="none"/>
              </w:tabs>
              <w:spacing w:before="60" w:after="60"/>
              <w:ind w:hanging="0" w:end="0"/>
              <w:rPr/>
            </w:pPr>
            <w:r>
              <w:rPr/>
              <w:t>0</w:t>
            </w:r>
          </w:p>
        </w:tc>
      </w:tr>
      <w:tr>
        <w:trPr/>
        <w:tc>
          <w:tcPr>
            <w:tcW w:w="976" w:type="dxa"/>
            <w:tcBorders>
              <w:top w:val="single" w:sz="4" w:space="0" w:color="000000"/>
              <w:start w:val="single" w:sz="4" w:space="0" w:color="000000"/>
              <w:bottom w:val="single" w:sz="4" w:space="0" w:color="000000"/>
              <w:end w:val="single" w:sz="4" w:space="0" w:color="000000"/>
            </w:tcBorders>
          </w:tcPr>
          <w:p>
            <w:pPr>
              <w:pStyle w:val="Style11"/>
              <w:spacing w:before="60" w:after="60"/>
              <w:ind w:hanging="0" w:end="0"/>
              <w:rPr>
                <w:b/>
              </w:rPr>
            </w:pPr>
            <w:r>
              <w:rPr>
                <w:b/>
              </w:rPr>
              <w:t>Total</w:t>
            </w:r>
          </w:p>
        </w:tc>
        <w:tc>
          <w:tcPr>
            <w:tcW w:w="1972"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062" w:leader="none"/>
              </w:tabs>
              <w:spacing w:before="60" w:after="60"/>
              <w:ind w:hanging="0" w:end="0"/>
              <w:rPr>
                <w:lang w:val="en-CA" w:eastAsia="en-CA"/>
              </w:rPr>
            </w:pPr>
            <w:r>
              <w:fldChar w:fldCharType="begin"/>
            </w:r>
            <w:r>
              <w:rPr>
                <w:lang w:val="en-CA" w:eastAsia="en-CA"/>
              </w:rPr>
              <w:instrText xml:space="preserve"> =SUM(ABOVE) </w:instrText>
            </w:r>
            <w:r>
              <w:rPr>
                <w:lang w:val="en-CA" w:eastAsia="en-CA"/>
              </w:rPr>
            </w:r>
            <w:r>
              <w:rPr>
                <w:lang w:val="en-CA" w:eastAsia="en-CA"/>
              </w:rPr>
              <w:fldChar w:fldCharType="separate"/>
            </w:r>
            <w:r>
              <w:rPr>
                <w:lang w:val="en-CA" w:eastAsia="en-CA"/>
              </w:rPr>
              <w:t>4,390</w:t>
            </w:r>
            <w:r/>
            <w:r>
              <w:rPr>
                <w:lang w:val="en-CA" w:eastAsia="en-CA"/>
              </w:rPr>
              <w:fldChar w:fldCharType="end"/>
            </w:r>
            <w:r>
              <w:rPr>
                <w:lang w:val="en-CA" w:eastAsia="en-CA"/>
              </w:rPr>
            </w:r>
          </w:p>
        </w:tc>
        <w:tc>
          <w:tcPr>
            <w:tcW w:w="1908"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242" w:leader="none"/>
              </w:tabs>
              <w:spacing w:before="60" w:after="60"/>
              <w:ind w:hanging="0" w:end="0"/>
              <w:rPr>
                <w:lang w:val="en-CA" w:eastAsia="en-CA"/>
              </w:rPr>
            </w:pPr>
            <w:r>
              <w:fldChar w:fldCharType="begin"/>
            </w:r>
            <w:r>
              <w:rPr>
                <w:lang w:val="en-CA" w:eastAsia="en-CA"/>
              </w:rPr>
              <w:instrText xml:space="preserve"> =SUM(ABOVE) </w:instrText>
            </w:r>
            <w:r>
              <w:rPr>
                <w:lang w:val="en-CA" w:eastAsia="en-CA"/>
              </w:rPr>
            </w:r>
            <w:r>
              <w:rPr>
                <w:lang w:val="en-CA" w:eastAsia="en-CA"/>
              </w:rPr>
              <w:fldChar w:fldCharType="separate"/>
            </w:r>
            <w:r>
              <w:rPr>
                <w:lang w:val="en-CA" w:eastAsia="en-CA"/>
              </w:rPr>
              <w:t>3,022</w:t>
            </w:r>
            <w:r/>
            <w:r>
              <w:rPr>
                <w:lang w:val="en-CA" w:eastAsia="en-CA"/>
              </w:rPr>
              <w:fldChar w:fldCharType="end"/>
            </w:r>
            <w:r>
              <w:rPr>
                <w:lang w:val="en-CA" w:eastAsia="en-CA"/>
              </w:rPr>
            </w:r>
          </w:p>
        </w:tc>
        <w:tc>
          <w:tcPr>
            <w:tcW w:w="2042"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242" w:leader="none"/>
              </w:tabs>
              <w:spacing w:before="60" w:after="60"/>
              <w:ind w:hanging="0" w:end="0"/>
              <w:rPr>
                <w:lang w:val="en-CA" w:eastAsia="en-CA"/>
              </w:rPr>
            </w:pPr>
            <w:r>
              <w:fldChar w:fldCharType="begin"/>
            </w:r>
            <w:r>
              <w:rPr>
                <w:lang w:val="en-CA" w:eastAsia="en-CA"/>
              </w:rPr>
              <w:instrText xml:space="preserve"> =SUM(ABOVE) </w:instrText>
            </w:r>
            <w:r>
              <w:rPr>
                <w:lang w:val="en-CA" w:eastAsia="en-CA"/>
              </w:rPr>
            </w:r>
            <w:r>
              <w:rPr>
                <w:lang w:val="en-CA" w:eastAsia="en-CA"/>
              </w:rPr>
              <w:fldChar w:fldCharType="separate"/>
            </w:r>
            <w:r>
              <w:rPr>
                <w:lang w:val="en-CA" w:eastAsia="en-CA"/>
              </w:rPr>
              <w:t>(742)</w:t>
            </w:r>
            <w:r/>
            <w:r>
              <w:rPr>
                <w:lang w:val="en-CA" w:eastAsia="en-CA"/>
              </w:rPr>
              <w:fldChar w:fldCharType="end"/>
            </w:r>
            <w:r>
              <w:rPr>
                <w:lang w:val="en-CA" w:eastAsia="en-CA"/>
              </w:rPr>
            </w:r>
          </w:p>
        </w:tc>
        <w:tc>
          <w:tcPr>
            <w:tcW w:w="1958" w:type="dxa"/>
            <w:tcBorders>
              <w:top w:val="single" w:sz="4" w:space="0" w:color="000000"/>
              <w:start w:val="single" w:sz="4" w:space="0" w:color="000000"/>
              <w:bottom w:val="single" w:sz="4" w:space="0" w:color="000000"/>
              <w:end w:val="single" w:sz="4" w:space="0" w:color="000000"/>
            </w:tcBorders>
          </w:tcPr>
          <w:p>
            <w:pPr>
              <w:pStyle w:val="Style11"/>
              <w:tabs>
                <w:tab w:val="clear" w:pos="720"/>
                <w:tab w:val="decimal" w:pos="1242" w:leader="none"/>
              </w:tabs>
              <w:spacing w:before="60" w:after="60"/>
              <w:ind w:hanging="0" w:end="0"/>
              <w:rPr/>
            </w:pPr>
            <w:r>
              <w:rPr/>
              <w:t>(4,330)</w:t>
            </w:r>
          </w:p>
        </w:tc>
      </w:tr>
    </w:tbl>
    <w:p>
      <w:pPr>
        <w:pStyle w:val="Style11"/>
        <w:ind w:firstLine="432" w:end="0"/>
        <w:rPr/>
      </w:pPr>
      <w:r>
        <w:rPr/>
      </w:r>
    </w:p>
    <w:p>
      <w:pPr>
        <w:pStyle w:val="Style11"/>
        <w:ind w:hanging="0" w:end="0"/>
        <w:rPr/>
      </w:pPr>
      <w:r>
        <w:rPr/>
        <w:t>All UCOS cases have been heard by the SOAH and proposed decisions have been issued.  For Reliant and TXU, the administrative law judge has recommended reductions in the proposed revenue requirements and has required the return of any depreciation that was redirected to generation as part of the utility’s transition plan.  The proposed decisions have also recommended that any excess earnings used to reduce the net book value of the generation assets be returned to customers via the transmission and distribution rates.</w:t>
      </w:r>
    </w:p>
    <w:p>
      <w:pPr>
        <w:pStyle w:val="Style11"/>
        <w:ind w:hanging="0" w:end="0"/>
        <w:rPr/>
      </w:pPr>
      <w:r>
        <w:rPr/>
        <w:t>Interim Orders were issued April 26, 2001 for all UCOS proceedings.  The Commission generally adopted the proposed decisions.   The Commission Staff is charged with the calculation of rates for each of the utilities and has submitted their results to the commission for approval.  All ERCOT utilities have received approval of interim rates (rates for use in the Pilot Program) and may be found on the PUCT website at:</w:t>
      </w:r>
    </w:p>
    <w:p>
      <w:pPr>
        <w:pStyle w:val="Normal"/>
        <w:autoSpaceDE w:val="false"/>
        <w:rPr>
          <w:rFonts w:ascii="Courier New" w:hAnsi="Courier New" w:cs="Courier New"/>
          <w:color w:val="000000"/>
          <w:sz w:val="20"/>
        </w:rPr>
      </w:pPr>
      <w:hyperlink r:id="rId2">
        <w:r>
          <w:rPr>
            <w:rStyle w:val="Hyperlink"/>
          </w:rPr>
          <w:t>http://www.puc.state.tx.us/electric/projects/20970/pilot/index.cfm</w:t>
        </w:r>
      </w:hyperlink>
      <w:r>
        <w:rPr>
          <w:sz w:val="20"/>
        </w:rPr>
        <w:t>&gt;</w:t>
      </w:r>
    </w:p>
    <w:p>
      <w:pPr>
        <w:pStyle w:val="Normal"/>
        <w:autoSpaceDE w:val="false"/>
        <w:rPr>
          <w:rFonts w:ascii="Courier New" w:hAnsi="Courier New" w:cs="Courier New"/>
          <w:color w:val="000000"/>
          <w:sz w:val="20"/>
        </w:rPr>
      </w:pPr>
      <w:r>
        <w:rPr>
          <w:rFonts w:cs="Courier New" w:ascii="Courier New" w:hAnsi="Courier New"/>
          <w:color w:val="000000"/>
          <w:sz w:val="20"/>
        </w:rPr>
      </w:r>
    </w:p>
    <w:p>
      <w:pPr>
        <w:pStyle w:val="Normal"/>
        <w:numPr>
          <w:ilvl w:val="0"/>
          <w:numId w:val="0"/>
        </w:numPr>
        <w:autoSpaceDE w:val="false"/>
        <w:outlineLvl w:val="0"/>
        <w:rPr/>
      </w:pPr>
      <w:r>
        <w:rPr>
          <w:b/>
          <w:bCs/>
          <w:color w:val="000000"/>
        </w:rPr>
        <w:t xml:space="preserve">Final rates are expected to be approved by October 2001.  </w:t>
      </w:r>
      <w:r>
        <w:rPr>
          <w:b/>
          <w:color w:val="000000"/>
        </w:rPr>
        <w:t>As with any general rate case, there will be a number of issues which the applicant (the utility) will seek a rehearing or appeal the decisions through the court system.  Each of the PUCT jurisdictional utilities that have submitted the required UCOS schedules and have received interim orders have indicated that several issues contained in the orders will be challenged.  For example, all utilities which were required to return negative ECOM (Reliant, TXU and CP&amp;L) through excess mitigation credits and reversal of redirected depreciation will seek all remedies available to challenge the PUCT decisions.</w:t>
      </w:r>
    </w:p>
    <w:p>
      <w:pPr>
        <w:pStyle w:val="Normal"/>
        <w:numPr>
          <w:ilvl w:val="0"/>
          <w:numId w:val="0"/>
        </w:numPr>
        <w:autoSpaceDE w:val="false"/>
        <w:outlineLvl w:val="0"/>
        <w:rPr>
          <w:b/>
          <w:color w:val="000000"/>
        </w:rPr>
      </w:pPr>
      <w:r>
        <w:rPr>
          <w:b/>
          <w:color w:val="000000"/>
        </w:rPr>
      </w:r>
    </w:p>
    <w:p>
      <w:pPr>
        <w:pStyle w:val="Normal"/>
        <w:numPr>
          <w:ilvl w:val="0"/>
          <w:numId w:val="0"/>
        </w:numPr>
        <w:autoSpaceDE w:val="false"/>
        <w:outlineLvl w:val="0"/>
        <w:rPr>
          <w:b/>
          <w:color w:val="000000"/>
        </w:rPr>
      </w:pPr>
      <w:r>
        <w:rPr>
          <w:b/>
          <w:color w:val="000000"/>
        </w:rPr>
        <w:t>The rehearing and appellate process are not subject to specific timelines and may or may not impact rates approved by the Commission for a period of time.  Because of the uncertainty of the Commission’s authority to cease mitigation efforts, reverse redirected depreciation and require excess mitigation credits in the delivery service rates, a possibility exists that delivery rates may change during the period the proposed rates are in effect.</w:t>
      </w:r>
    </w:p>
    <w:p>
      <w:pPr>
        <w:pStyle w:val="Normal"/>
        <w:numPr>
          <w:ilvl w:val="0"/>
          <w:numId w:val="0"/>
        </w:numPr>
        <w:autoSpaceDE w:val="false"/>
        <w:outlineLvl w:val="0"/>
        <w:rPr>
          <w:b/>
          <w:color w:val="000000"/>
        </w:rPr>
      </w:pPr>
      <w:r>
        <w:rPr>
          <w:b/>
          <w:color w:val="000000"/>
        </w:rPr>
      </w:r>
    </w:p>
    <w:p>
      <w:pPr>
        <w:pStyle w:val="Normal"/>
        <w:numPr>
          <w:ilvl w:val="0"/>
          <w:numId w:val="0"/>
        </w:numPr>
        <w:autoSpaceDE w:val="false"/>
        <w:outlineLvl w:val="0"/>
        <w:rPr/>
      </w:pPr>
      <w:r>
        <w:rPr>
          <w:b/>
          <w:color w:val="000000"/>
        </w:rPr>
        <w:t xml:space="preserve">It is unlikely that delivery rates will change during the first two years of direct access </w:t>
      </w:r>
      <w:r>
        <w:rPr>
          <w:b/>
          <w:i/>
          <w:iCs/>
          <w:color w:val="000000"/>
          <w:u w:val="single"/>
        </w:rPr>
        <w:t>due to utility earnings shortfall</w:t>
      </w:r>
      <w:r>
        <w:rPr>
          <w:b/>
          <w:color w:val="000000"/>
        </w:rPr>
        <w:t>.   However, since delivery rates were established based upon a forecast test year (2002 rate year) and on an unbundled basis, a utility may realize actual results for the year ended 2002 which may differ from the level forecasted in the UCOS decision.  Due to regulatory lag (the reporting and approval process to implement new rates), rates will remain unchanged through 2004 (with the exception of the TCRF).</w:t>
      </w:r>
    </w:p>
    <w:p>
      <w:pPr>
        <w:pStyle w:val="Normal"/>
        <w:autoSpaceDE w:val="false"/>
        <w:rPr>
          <w:b/>
          <w:color w:val="000000"/>
        </w:rPr>
      </w:pPr>
      <w:r>
        <w:rPr>
          <w:b/>
          <w:color w:val="000000"/>
        </w:rPr>
      </w:r>
    </w:p>
    <w:p>
      <w:pPr>
        <w:pStyle w:val="Style11"/>
        <w:ind w:hanging="0" w:end="0"/>
        <w:rPr>
          <w:b/>
        </w:rPr>
      </w:pPr>
      <w:r>
        <w:rPr>
          <w:b/>
        </w:rPr>
        <w:t xml:space="preserve">CP&amp;L has filed a motion for an immediate final order in their UCOS proceeding.  It is anticipated that the motivation behind CP&amp;L’s request is to expedite its appeal to district court regarding the authority of the Commission to implement excess mitigation credits and cease redirected depreciation. </w:t>
      </w:r>
    </w:p>
    <w:p>
      <w:pPr>
        <w:pStyle w:val="BodyText2"/>
        <w:autoSpaceDE w:val="false"/>
        <w:rPr/>
      </w:pPr>
      <w:r>
        <w:rPr/>
      </w:r>
    </w:p>
    <w:p>
      <w:pPr>
        <w:pStyle w:val="BodyText2"/>
        <w:autoSpaceDE w:val="false"/>
        <w:rPr/>
      </w:pPr>
      <w:r>
        <w:rPr/>
      </w:r>
    </w:p>
    <w:p>
      <w:pPr>
        <w:pStyle w:val="BodyText2"/>
        <w:autoSpaceDE w:val="false"/>
        <w:rPr/>
      </w:pPr>
      <w:r>
        <w:rPr/>
        <w:t xml:space="preserve">TXU has filed a mandamus action with the Texas Supreme Court which seeks to reverse the Commission’s decision regarding negative ECOM.  </w:t>
        <w:br/>
        <w:t>Enron is addressing the jurisdictional issue and expects a decision in September 2001.</w:t>
      </w:r>
    </w:p>
    <w:p>
      <w:pPr>
        <w:pStyle w:val="BodyText2"/>
        <w:autoSpaceDE w:val="false"/>
        <w:rPr/>
      </w:pPr>
      <w:r>
        <w:rPr/>
      </w:r>
    </w:p>
    <w:p>
      <w:pPr>
        <w:pStyle w:val="BodyText2"/>
        <w:autoSpaceDE w:val="false"/>
        <w:rPr/>
      </w:pPr>
      <w:r>
        <w:rPr/>
      </w:r>
    </w:p>
    <w:p>
      <w:pPr>
        <w:pStyle w:val="Style11"/>
        <w:numPr>
          <w:ilvl w:val="0"/>
          <w:numId w:val="0"/>
        </w:numPr>
        <w:ind w:start="0" w:hanging="0" w:end="0"/>
        <w:outlineLvl w:val="0"/>
        <w:rPr>
          <w:u w:val="single"/>
        </w:rPr>
      </w:pPr>
      <w:r>
        <w:rPr>
          <w:u w:val="single"/>
        </w:rPr>
        <w:t>FUEL FACTOR ADJUSTMENTS AND FUEL FACTOR SURCHARGES:</w:t>
      </w:r>
    </w:p>
    <w:p>
      <w:pPr>
        <w:pStyle w:val="Style11"/>
        <w:ind w:hanging="0" w:end="0"/>
        <w:rPr/>
      </w:pPr>
      <w:r>
        <w:rPr/>
        <w:t xml:space="preserve">Most utilities in Texas have the ability to recover their fuel and purchased power costs through an adjustment that is designed to reflect current fuel prices and expected utility sales levels.   Increasing natural gas prices during 2000 and 2001 have resulted in increases in the fuel factor portion of customer’s bills during the past 12 months.  In addition, a number of variables inherent in the forecasting process have resulted in significant under-recovery of the utilities fuel expenses and attendant increases in the amount of surcharges necessary to recover these balances.  </w:t>
      </w:r>
    </w:p>
    <w:p>
      <w:pPr>
        <w:pStyle w:val="Style11"/>
        <w:ind w:hanging="0" w:end="0"/>
        <w:rPr>
          <w:b/>
        </w:rPr>
      </w:pPr>
      <w:r>
        <w:rPr/>
        <w:t xml:space="preserve">As of April 2001, Reliant, Entergy and TXU have submitted proposed changes to their fuel factors and/or fuel factor surcharges.  Enron has intervened in both Entergy and Reliant proceedings to ensure that prospective surcharges do not result in a competitive advantage to the affiliate REP.  The Commission ruled that all unrecovered fuel costs would not be included in the default offerings from affiliated REP’s and will become part of the stranded cost “True-Up” calculation made after January 11, 2004. TXU expected amounts to be recovered as part of the True-Up (for fuel) is expected to be in excess of $775M and Reliant’s anticipated balance is approximately $500M. </w:t>
      </w:r>
    </w:p>
    <w:p>
      <w:pPr>
        <w:pStyle w:val="Style11"/>
        <w:ind w:hanging="0" w:end="0"/>
        <w:rPr/>
      </w:pPr>
      <w:r>
        <w:rPr/>
        <w:t>TXU’s proposed fuel factor (filed February 2001) included an interim rate request to be effective March 2001.  Several protests were filed and ultimately interim relief was denied by the administrative law judge</w:t>
      </w:r>
      <w:r>
        <w:rPr>
          <w:b/>
        </w:rPr>
        <w:t xml:space="preserve">.  </w:t>
      </w:r>
      <w:r>
        <w:rPr/>
        <w:t xml:space="preserve">The Commission approved the fuel factor on May 8, 2001 and TXU provided the revised fuel factor on May 30, 2001 for billings beginning the first day after May 30, 2001.  The gas cost reflected in the approved fuel factor is $5.20/MMbtu.  Certain parties and TXU have filed motions for rehearing regarding the PUCT Order.  Cities served by TXU have challenged the fuel factor filed in compliance with the Commission’s Order stating that TXU failed to properly calculate the factor with respect to load loss during the Texas Pilot Project.  TXU has challenged the Order which denied the proposed surcharge and deferred the recovery of under-recovered fuel costs to the 2004 True-Up.  TXU argues that the Commission does not have the authority to prohibit the implementation of a fuel factor surcharge calculated in accordance with PUCT Rules.  </w:t>
      </w:r>
      <w:r>
        <w:rPr>
          <w:b/>
        </w:rPr>
        <w:t>The PUCT has denied the motion for rehearing and approved the fuel factors on august 15, 2001.</w:t>
      </w:r>
    </w:p>
    <w:p>
      <w:pPr>
        <w:pStyle w:val="Style11"/>
        <w:ind w:hanging="0" w:end="0"/>
        <w:rPr/>
      </w:pPr>
      <w:r>
        <w:rPr/>
        <w:t xml:space="preserve"> </w:t>
      </w:r>
      <w:r>
        <w:rPr/>
        <w:t>In March 2001, Reliant filed for revision of its fuel factor citing increased gas prices from those established in the (then current) November 2000 fuel factor.  In May 2001, Reliant was authorized to implement interim fuel factors while addressing other issues (deferral of under-collected fuel costs to the 2004 True-Up) the Company had included in its March 2001 application.  During the interim period, gas prices have declined and all parties involved in the fuel factor proceeding agreed to dismiss the application under the following terms:</w:t>
      </w:r>
    </w:p>
    <w:p>
      <w:pPr>
        <w:pStyle w:val="Style11"/>
        <w:numPr>
          <w:ilvl w:val="0"/>
          <w:numId w:val="2"/>
        </w:numPr>
        <w:rPr/>
      </w:pPr>
      <w:r>
        <w:rPr/>
        <w:t>The interim rates will be terminated and the fuel factors in effect prior to Reliant’s March 2001 application will be placed in effect upon PUCT approval of the motion to dismiss.</w:t>
      </w:r>
    </w:p>
    <w:p>
      <w:pPr>
        <w:pStyle w:val="Style11"/>
        <w:numPr>
          <w:ilvl w:val="0"/>
          <w:numId w:val="2"/>
        </w:numPr>
        <w:rPr/>
      </w:pPr>
      <w:r>
        <w:rPr/>
        <w:t>Under-recovered fuel costs will be addressed at the 2004 True-Up.</w:t>
      </w:r>
    </w:p>
    <w:p>
      <w:pPr>
        <w:pStyle w:val="Style11"/>
        <w:numPr>
          <w:ilvl w:val="0"/>
          <w:numId w:val="0"/>
        </w:numPr>
        <w:ind w:start="0" w:hanging="0" w:end="0"/>
        <w:outlineLvl w:val="0"/>
        <w:rPr/>
      </w:pPr>
      <w:r>
        <w:rPr>
          <w:bCs/>
        </w:rPr>
        <w:t>The Commission dismissed the Application on July 20, 2001</w:t>
      </w:r>
      <w:r>
        <w:rPr/>
        <w:t>.</w:t>
      </w:r>
    </w:p>
    <w:p>
      <w:pPr>
        <w:pStyle w:val="Style11"/>
        <w:numPr>
          <w:ilvl w:val="0"/>
          <w:numId w:val="0"/>
        </w:numPr>
        <w:ind w:start="0" w:hanging="0" w:end="0"/>
        <w:outlineLvl w:val="0"/>
        <w:rPr>
          <w:u w:val="single"/>
        </w:rPr>
      </w:pPr>
      <w:r>
        <w:rPr>
          <w:u w:val="single"/>
        </w:rPr>
        <w:t>AGGREGATION:</w:t>
      </w:r>
    </w:p>
    <w:p>
      <w:pPr>
        <w:pStyle w:val="Style11"/>
        <w:ind w:hanging="0" w:end="0"/>
        <w:rPr/>
      </w:pPr>
      <w:r>
        <w:rPr/>
        <w:t>As Texas moves closer to open-access, Enron has been approached by a number of parties requesting both pricing and facility management services for aggregated loads.  SB7 provides the opportunity for Aggregators to work with REP’s to obtain electric energy services on behalf of the aggregated load.  The following table reflects the terms and conditions for aggregation services:</w:t>
      </w:r>
    </w:p>
    <w:p>
      <w:pPr>
        <w:pStyle w:val="Style11"/>
        <w:ind w:hanging="0" w:end="0"/>
        <w:rPr/>
      </w:pPr>
      <w:r>
        <w:rPr/>
        <w:t xml:space="preserve">  </w:t>
      </w:r>
    </w:p>
    <w:tbl>
      <w:tblPr>
        <w:tblW w:w="8748" w:type="dxa"/>
        <w:jc w:val="start"/>
        <w:tblInd w:w="0" w:type="dxa"/>
        <w:tblLayout w:type="fixed"/>
        <w:tblCellMar>
          <w:top w:w="0" w:type="dxa"/>
          <w:start w:w="108" w:type="dxa"/>
          <w:bottom w:w="0" w:type="dxa"/>
          <w:end w:w="108" w:type="dxa"/>
        </w:tblCellMar>
      </w:tblPr>
      <w:tblGrid>
        <w:gridCol w:w="2088"/>
        <w:gridCol w:w="1530"/>
        <w:gridCol w:w="1530"/>
        <w:gridCol w:w="1710"/>
        <w:gridCol w:w="1890"/>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Person aggregating public entity load</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Political Subdivision Corporation aggregating public entity load</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Municipality aggregating its citizens</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Third party administrator acting for a municipality aggregating the municipality’s citizens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Take title to power</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No</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Yes</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Yes</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No</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PUC’s customer protections apply</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Yes</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No</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No</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Yes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Can be a retail electric provider</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No</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Yes.  Only “persons” are required to register as a retail electric provider.</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Yes.  Only “persons” are required to register as a retail electric provider.</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No</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Can purchase only from a retail electric provider or a cooperative or municipally owned utility providing customer choice</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Yes</w:t>
            </w:r>
          </w:p>
        </w:tc>
        <w:tc>
          <w:tcPr>
            <w:tcW w:w="1530"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No</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No</w:t>
            </w:r>
          </w:p>
        </w:tc>
        <w:tc>
          <w:tcPr>
            <w:tcW w:w="1890" w:type="dxa"/>
            <w:tcBorders>
              <w:top w:val="single" w:sz="4" w:space="0" w:color="000000"/>
              <w:start w:val="single" w:sz="4" w:space="0" w:color="000000"/>
              <w:bottom w:val="single" w:sz="4" w:space="0" w:color="000000"/>
              <w:end w:val="single" w:sz="4" w:space="0" w:color="000000"/>
            </w:tcBorders>
          </w:tcPr>
          <w:p>
            <w:pPr>
              <w:pStyle w:val="Normal"/>
              <w:spacing w:before="60" w:after="60"/>
              <w:rPr/>
            </w:pPr>
            <w:r>
              <w:rPr/>
              <w:t>No</w:t>
            </w:r>
          </w:p>
        </w:tc>
      </w:tr>
    </w:tbl>
    <w:p>
      <w:pPr>
        <w:pStyle w:val="Normal"/>
        <w:rPr/>
      </w:pPr>
      <w:r>
        <w:rPr/>
      </w:r>
    </w:p>
    <w:p>
      <w:pPr>
        <w:pStyle w:val="Heading3"/>
        <w:ind w:hanging="0" w:start="0"/>
        <w:rPr>
          <w:b/>
        </w:rPr>
      </w:pPr>
      <w:r>
        <w:rPr>
          <w:b/>
        </w:rPr>
        <w:t>Pilot Project</w:t>
      </w:r>
    </w:p>
    <w:p>
      <w:pPr>
        <w:pStyle w:val="Normal"/>
        <w:rPr>
          <w:b/>
        </w:rPr>
      </w:pPr>
      <w:r>
        <w:rPr>
          <w:b/>
        </w:rPr>
      </w:r>
    </w:p>
    <w:p>
      <w:pPr>
        <w:pStyle w:val="Normal"/>
        <w:rPr>
          <w:b/>
        </w:rPr>
      </w:pPr>
      <w:r>
        <w:rPr>
          <w:b/>
        </w:rPr>
        <w:t>Due to significant system development problems, ERCOT has delayed the implementation of the Pilot Project until July 31, 2001.  The delays are the result of limited testing of interface systems between Load Serving Entities and ERCOT.  Currently, ERCOT projects the implementation of a single control area coincident with the beginning of the Pilot Project.</w:t>
      </w:r>
    </w:p>
    <w:p>
      <w:pPr>
        <w:pStyle w:val="Normal"/>
        <w:rPr>
          <w:b/>
        </w:rPr>
      </w:pPr>
      <w:r>
        <w:rPr>
          <w:b/>
        </w:rPr>
      </w:r>
    </w:p>
    <w:p>
      <w:pPr>
        <w:pStyle w:val="Normal"/>
        <w:rPr>
          <w:b/>
        </w:rPr>
      </w:pPr>
      <w:r>
        <w:rPr>
          <w:b/>
        </w:rPr>
        <w:t>The following are the current enrollment levels for Reliant and TXU (other than Residential) as of July 23, 2001:</w:t>
      </w:r>
    </w:p>
    <w:p>
      <w:pPr>
        <w:pStyle w:val="Normal"/>
        <w:rPr>
          <w:b/>
        </w:rPr>
      </w:pPr>
      <w:r>
        <w:rPr>
          <w:b/>
        </w:rPr>
      </w:r>
    </w:p>
    <w:p>
      <w:pPr>
        <w:pStyle w:val="Normal"/>
        <w:rPr>
          <w:b/>
        </w:rPr>
      </w:pPr>
      <w:r>
        <w:rPr>
          <w:b/>
        </w:rPr>
        <w:tab/>
        <w:tab/>
        <w:tab/>
        <w:tab/>
        <w:tab/>
        <w:t>Reliant</w:t>
        <w:tab/>
        <w:tab/>
        <w:t>TXU</w:t>
      </w:r>
    </w:p>
    <w:p>
      <w:pPr>
        <w:pStyle w:val="Normal"/>
        <w:rPr>
          <w:b/>
        </w:rPr>
      </w:pPr>
      <w:r>
        <w:rPr>
          <w:b/>
        </w:rPr>
        <w:t xml:space="preserve">Non-Residential, Non-Demand </w:t>
        <w:tab/>
        <w:t>10%</w:t>
        <w:tab/>
        <w:tab/>
        <w:tab/>
        <w:t>14%</w:t>
      </w:r>
    </w:p>
    <w:p>
      <w:pPr>
        <w:pStyle w:val="Normal"/>
        <w:rPr>
          <w:b/>
        </w:rPr>
      </w:pPr>
      <w:r>
        <w:rPr>
          <w:b/>
        </w:rPr>
        <w:t>Commercial</w:t>
        <w:tab/>
        <w:tab/>
        <w:tab/>
        <w:tab/>
        <w:t>85%</w:t>
        <w:tab/>
        <w:tab/>
        <w:tab/>
        <w:t>100%</w:t>
      </w:r>
    </w:p>
    <w:p>
      <w:pPr>
        <w:pStyle w:val="Normal"/>
        <w:rPr>
          <w:b/>
        </w:rPr>
      </w:pPr>
      <w:r>
        <w:rPr>
          <w:b/>
        </w:rPr>
        <w:t>Industrial</w:t>
        <w:tab/>
        <w:tab/>
        <w:tab/>
        <w:tab/>
        <w:t>102%</w:t>
        <w:tab/>
        <w:tab/>
        <w:tab/>
        <w:t>27%</w:t>
      </w:r>
    </w:p>
    <w:p>
      <w:pPr>
        <w:pStyle w:val="Normal"/>
        <w:rPr>
          <w:b/>
        </w:rPr>
      </w:pPr>
      <w:r>
        <w:rPr>
          <w:b/>
        </w:rPr>
        <w:t>Other</w:t>
        <w:tab/>
        <w:tab/>
        <w:tab/>
        <w:tab/>
        <w:tab/>
        <w:t>2%</w:t>
        <w:tab/>
        <w:tab/>
        <w:tab/>
        <w:t>35%</w:t>
      </w:r>
    </w:p>
    <w:p>
      <w:pPr>
        <w:pStyle w:val="Normal"/>
        <w:rPr>
          <w:b/>
        </w:rPr>
      </w:pPr>
      <w:r>
        <w:rPr>
          <w:b/>
        </w:rPr>
      </w:r>
    </w:p>
    <w:p>
      <w:pPr>
        <w:pStyle w:val="Normal"/>
        <w:rPr>
          <w:b/>
        </w:rPr>
      </w:pPr>
      <w:r>
        <w:rPr>
          <w:b/>
        </w:rPr>
        <w:t>Differences are due to customer eligibility classification that is not consistent with generic customer rate classes.</w:t>
      </w:r>
    </w:p>
    <w:p>
      <w:pPr>
        <w:pStyle w:val="Normal"/>
        <w:rPr>
          <w:b/>
          <w:u w:val="single"/>
        </w:rPr>
      </w:pPr>
      <w:r>
        <w:rPr>
          <w:b/>
          <w:u w:val="single"/>
        </w:rPr>
      </w:r>
    </w:p>
    <w:p>
      <w:pPr>
        <w:pStyle w:val="Normal"/>
        <w:numPr>
          <w:ilvl w:val="0"/>
          <w:numId w:val="0"/>
        </w:numPr>
        <w:outlineLvl w:val="0"/>
        <w:rPr>
          <w:bCs/>
          <w:u w:val="single"/>
        </w:rPr>
      </w:pPr>
      <w:r>
        <w:rPr>
          <w:bCs/>
          <w:u w:val="single"/>
        </w:rPr>
        <w:t>PROVIDER OF LAST RESORT</w:t>
      </w:r>
    </w:p>
    <w:p>
      <w:pPr>
        <w:pStyle w:val="Normal"/>
        <w:rPr>
          <w:bCs/>
          <w:u w:val="single"/>
        </w:rPr>
      </w:pPr>
      <w:r>
        <w:rPr>
          <w:bCs/>
          <w:u w:val="single"/>
        </w:rPr>
      </w:r>
    </w:p>
    <w:p>
      <w:pPr>
        <w:pStyle w:val="BodyText2"/>
        <w:rPr/>
      </w:pPr>
      <w:r>
        <w:rPr>
          <w:b w:val="false"/>
        </w:rPr>
        <w:t>The Commission has initiated a proceeding that will determine the terms and conditions for POLR service.  Currently, only Affiliated REP’s have been authorized to provide POLR service beginning January 1, 2002.  Enron has a direct interest in this proceeding, as it may be that the PUCT will prescribe not only the terms and conditions of the service, but may establish prices as well.  Enron is</w:t>
      </w:r>
      <w:r>
        <w:rPr/>
        <w:t xml:space="preserve"> </w:t>
      </w:r>
      <w:r>
        <w:rPr>
          <w:b w:val="false"/>
          <w:bCs w:val="false"/>
        </w:rPr>
        <w:t>briefing this issue and expects a Commission decision in September.</w:t>
      </w:r>
    </w:p>
    <w:p>
      <w:pPr>
        <w:pStyle w:val="BodyText2"/>
        <w:rPr>
          <w:b w:val="false"/>
          <w:bCs w:val="false"/>
        </w:rPr>
      </w:pPr>
      <w:r>
        <w:rPr>
          <w:b w:val="false"/>
          <w:bCs w:val="false"/>
        </w:rPr>
      </w:r>
    </w:p>
    <w:p>
      <w:pPr>
        <w:pStyle w:val="BodyText2"/>
        <w:numPr>
          <w:ilvl w:val="0"/>
          <w:numId w:val="0"/>
        </w:numPr>
        <w:outlineLvl w:val="0"/>
        <w:rPr>
          <w:b w:val="false"/>
          <w:bCs w:val="false"/>
          <w:u w:val="single"/>
        </w:rPr>
      </w:pPr>
      <w:r>
        <w:rPr>
          <w:b w:val="false"/>
          <w:bCs w:val="false"/>
          <w:u w:val="single"/>
        </w:rPr>
        <w:t>ERCOT</w:t>
      </w:r>
    </w:p>
    <w:p>
      <w:pPr>
        <w:pStyle w:val="Normal"/>
        <w:rPr>
          <w:b/>
          <w:bCs/>
          <w:u w:val="single"/>
        </w:rPr>
      </w:pPr>
      <w:r>
        <w:rPr>
          <w:b/>
          <w:bCs/>
          <w:u w:val="single"/>
        </w:rPr>
      </w:r>
    </w:p>
    <w:p>
      <w:pPr>
        <w:pStyle w:val="Heading4"/>
        <w:ind w:hanging="0" w:start="0"/>
        <w:rPr>
          <w:b w:val="false"/>
          <w:bCs w:val="false"/>
        </w:rPr>
      </w:pPr>
      <w:r>
        <w:rPr>
          <w:b w:val="false"/>
          <w:bCs w:val="false"/>
        </w:rPr>
        <w:t>Planning Reserve Margin</w:t>
      </w:r>
    </w:p>
    <w:p>
      <w:pPr>
        <w:pStyle w:val="BodyText2"/>
        <w:rPr/>
      </w:pPr>
      <w:r>
        <w:rPr>
          <w:b w:val="false"/>
          <w:bCs w:val="false"/>
        </w:rPr>
        <w:t>The PUCT has held a number of workshops addressing the need for reserve margins in ERCOT. They have distributed a list of questions to market participants regarding the need for planning reserve margin requirements and requested responses by August 10</w:t>
      </w:r>
      <w:r>
        <w:rPr>
          <w:b w:val="false"/>
          <w:bCs w:val="false"/>
          <w:vertAlign w:val="superscript"/>
        </w:rPr>
        <w:t>th</w:t>
      </w:r>
      <w:r>
        <w:rPr>
          <w:b w:val="false"/>
          <w:bCs w:val="false"/>
        </w:rPr>
        <w:t>. Based on the responses to the questions, the PUCT will probably either decide to have another workshop on the matter or present a proposal to the commissioners.</w:t>
      </w:r>
    </w:p>
    <w:p>
      <w:pPr>
        <w:pStyle w:val="Normal"/>
        <w:rPr>
          <w:b/>
          <w:bCs/>
        </w:rPr>
      </w:pPr>
      <w:r>
        <w:rPr>
          <w:b/>
          <w:bCs/>
        </w:rPr>
      </w:r>
    </w:p>
    <w:p>
      <w:pPr>
        <w:pStyle w:val="Heading4"/>
        <w:ind w:hanging="0" w:start="0"/>
        <w:rPr>
          <w:b w:val="false"/>
          <w:bCs w:val="false"/>
        </w:rPr>
      </w:pPr>
      <w:r>
        <w:rPr>
          <w:b w:val="false"/>
          <w:bCs w:val="false"/>
        </w:rPr>
        <w:t>Capacity Auction</w:t>
      </w:r>
    </w:p>
    <w:p>
      <w:pPr>
        <w:pStyle w:val="Normal"/>
        <w:rPr/>
      </w:pPr>
      <w:r>
        <w:rPr/>
        <w:t>Due primarily to concerns about the mechanics of the auctions, several parties (including Enron) filed a motion to delay the capacity auction. If approved, the motion will delay the beginning of the auction until September 5</w:t>
      </w:r>
      <w:r>
        <w:rPr>
          <w:vertAlign w:val="superscript"/>
        </w:rPr>
        <w:t>th</w:t>
      </w:r>
      <w:r>
        <w:rPr/>
        <w:t>. If the motion isn’t approved, the auction is scheduled to begin on August 23</w:t>
      </w:r>
      <w:r>
        <w:rPr>
          <w:vertAlign w:val="superscript"/>
        </w:rPr>
        <w:t>rd</w:t>
      </w:r>
      <w:r>
        <w:rPr/>
        <w:t xml:space="preserve">. </w:t>
      </w:r>
    </w:p>
    <w:p>
      <w:pPr>
        <w:pStyle w:val="Normal"/>
        <w:rPr/>
      </w:pPr>
      <w:r>
        <w:rPr/>
      </w:r>
    </w:p>
    <w:p>
      <w:pPr>
        <w:pStyle w:val="Heading4"/>
        <w:ind w:hanging="0" w:start="0"/>
        <w:rPr>
          <w:b w:val="false"/>
          <w:bCs w:val="false"/>
        </w:rPr>
      </w:pPr>
      <w:r>
        <w:rPr>
          <w:b w:val="false"/>
          <w:bCs w:val="false"/>
        </w:rPr>
        <w:t>Congestion Management</w:t>
      </w:r>
    </w:p>
    <w:p>
      <w:pPr>
        <w:pStyle w:val="Normal"/>
        <w:rPr/>
      </w:pPr>
      <w:r>
        <w:rPr/>
        <w:t>Both interzonal and intrazonal congestion will be “socialized” based on a load share ratio until the costs of clearing congestion reaches $20 million. The word on the street is that this $20 million threshold will be reached in a matter of months.</w:t>
      </w:r>
    </w:p>
    <w:p>
      <w:pPr>
        <w:pStyle w:val="Normal"/>
        <w:rPr/>
      </w:pPr>
      <w:r>
        <w:rPr/>
      </w:r>
    </w:p>
    <w:p>
      <w:pPr>
        <w:pStyle w:val="Normal"/>
        <w:numPr>
          <w:ilvl w:val="0"/>
          <w:numId w:val="0"/>
        </w:numPr>
        <w:outlineLvl w:val="0"/>
        <w:rPr>
          <w:u w:val="single"/>
        </w:rPr>
      </w:pPr>
      <w:r>
        <w:rPr>
          <w:u w:val="single"/>
        </w:rPr>
        <w:t>LEGISLATIVE:</w:t>
      </w:r>
    </w:p>
    <w:p>
      <w:pPr>
        <w:pStyle w:val="Normal"/>
        <w:rPr>
          <w:u w:val="single"/>
        </w:rPr>
      </w:pPr>
      <w:r>
        <w:rPr>
          <w:u w:val="single"/>
        </w:rPr>
      </w:r>
    </w:p>
    <w:p>
      <w:pPr>
        <w:pStyle w:val="Normal"/>
        <w:rPr/>
      </w:pPr>
      <w:r>
        <w:rPr/>
        <w:t>The only significant legislation related to electric industry restructuring passed during the 2001 session was HB 1692.  HB 1692 effectively blocks direct access to customers behind SPS until 2007.</w:t>
      </w:r>
    </w:p>
    <w:p>
      <w:pPr>
        <w:pStyle w:val="Normal"/>
        <w:rPr/>
      </w:pPr>
      <w:r>
        <w:rPr/>
      </w:r>
    </w:p>
    <w:p>
      <w:pPr>
        <w:pStyle w:val="Normal"/>
        <w:rPr/>
      </w:pPr>
      <w:r>
        <w:rPr/>
        <w:t>It is our understanding that SB 7 will be open for amendments (all sections of the law) during the 2003 legislative session.</w:t>
      </w:r>
    </w:p>
    <w:p>
      <w:pPr>
        <w:pStyle w:val="Normal"/>
        <w:rPr/>
      </w:pPr>
      <w:r>
        <w:rPr/>
      </w:r>
    </w:p>
    <w:p>
      <w:pPr>
        <w:pStyle w:val="Normal"/>
        <w:rPr>
          <w:b/>
          <w:bCs/>
          <w:u w:val="single"/>
        </w:rPr>
      </w:pPr>
      <w:r>
        <w:rPr>
          <w:b/>
          <w:bCs/>
          <w:u w:val="single"/>
        </w:rPr>
        <w:t>MARKET OPENING:</w:t>
      </w:r>
    </w:p>
    <w:p>
      <w:pPr>
        <w:pStyle w:val="Normal"/>
        <w:rPr>
          <w:b/>
          <w:bCs/>
          <w:u w:val="single"/>
        </w:rPr>
      </w:pPr>
      <w:r>
        <w:rPr>
          <w:b/>
          <w:bCs/>
          <w:u w:val="single"/>
        </w:rPr>
      </w:r>
    </w:p>
    <w:p>
      <w:pPr>
        <w:pStyle w:val="Normal"/>
        <w:rPr>
          <w:b/>
          <w:bCs/>
        </w:rPr>
      </w:pPr>
      <w:r>
        <w:rPr>
          <w:b/>
          <w:bCs/>
        </w:rPr>
        <w:t xml:space="preserve">The PUCT Staff has requested a delay in the capacity auctions for SWEPCO and WTU for those areas served in the Southwest Power Pool.  The Staff has also requested a delay in the date for direct access due to evidence that indicates little or no competitive interest in the utilities located within the SPP.  It is anticipated that the delay will be no later than the formation of the RTO in which the SPP will become a member.  The delay is expected to be six to 12 months.   </w:t>
      </w:r>
    </w:p>
    <w:p>
      <w:pPr>
        <w:pStyle w:val="Normal"/>
        <w:rPr>
          <w:b/>
          <w:bCs/>
        </w:rPr>
      </w:pPr>
      <w:r>
        <w:rPr>
          <w:b/>
          <w:bCs/>
        </w:rPr>
      </w:r>
    </w:p>
    <w:p>
      <w:pPr>
        <w:pStyle w:val="Normal"/>
        <w:rPr>
          <w:b/>
          <w:bCs/>
        </w:rPr>
      </w:pPr>
      <w:r>
        <w:rPr>
          <w:b/>
          <w:bCs/>
        </w:rPr>
        <w:t xml:space="preserve">The PUCT Staff has requested a delay in the capacity auction for the entire Entergy service territory.  The Staff has also requested a delay in the date for direct access due to evidence that indicates little or no competitive interest in the utilities located within the Southeastern Reliability council.   The delay is expected to be six to nine months.   </w:t>
      </w:r>
    </w:p>
    <w:p>
      <w:pPr>
        <w:pStyle w:val="Normal"/>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25"/>
        </w:tabs>
        <w:ind w:start="825" w:hanging="465"/>
      </w:pPr>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7"/>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b/>
      <w:bCs/>
      <w:color w:val="000000"/>
      <w:szCs w:val="20"/>
    </w:rPr>
  </w:style>
  <w:style w:type="paragraph" w:styleId="Heading2">
    <w:name w:val="heading 2"/>
    <w:basedOn w:val="Normal"/>
    <w:next w:val="Normal"/>
    <w:qFormat/>
    <w:pPr>
      <w:keepNext w:val="true"/>
      <w:numPr>
        <w:ilvl w:val="1"/>
        <w:numId w:val="1"/>
      </w:numPr>
      <w:pBdr>
        <w:top w:val="single" w:sz="12" w:space="1" w:color="000000" w:shadow="1"/>
        <w:left w:val="single" w:sz="12" w:space="4" w:color="000000" w:shadow="1"/>
        <w:bottom w:val="single" w:sz="12" w:space="1" w:color="000000" w:shadow="1"/>
        <w:right w:val="single" w:sz="12" w:space="4" w:color="000000" w:shadow="1"/>
      </w:pBdr>
      <w:spacing w:before="240" w:after="240"/>
      <w:jc w:val="center"/>
      <w:outlineLvl w:val="1"/>
    </w:pPr>
    <w:rPr>
      <w:rFonts w:ascii="Arial" w:hAnsi="Arial" w:cs="Arial"/>
      <w:b/>
      <w:caps/>
      <w:sz w:val="28"/>
      <w:szCs w:val="20"/>
    </w:rPr>
  </w:style>
  <w:style w:type="paragraph" w:styleId="Heading3">
    <w:name w:val="heading 3"/>
    <w:basedOn w:val="Normal"/>
    <w:next w:val="Normal"/>
    <w:qFormat/>
    <w:pPr>
      <w:keepNext w:val="true"/>
      <w:numPr>
        <w:ilvl w:val="2"/>
        <w:numId w:val="1"/>
      </w:numPr>
      <w:outlineLvl w:val="2"/>
    </w:pPr>
    <w:rPr>
      <w:sz w:val="28"/>
      <w:u w:val="single"/>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jc w:val="end"/>
      <w:outlineLvl w:val="4"/>
    </w:pPr>
    <w:rPr>
      <w:rFonts w:ascii="Arial" w:hAnsi="Arial" w:cs="Arial"/>
      <w:b/>
      <w:color w:val="000000"/>
      <w:sz w:val="20"/>
      <w:szCs w:val="20"/>
    </w:rPr>
  </w:style>
  <w:style w:type="paragraph" w:styleId="Heading6">
    <w:name w:val="heading 6"/>
    <w:basedOn w:val="Normal"/>
    <w:next w:val="Normal"/>
    <w:qFormat/>
    <w:pPr>
      <w:keepNext w:val="true"/>
      <w:numPr>
        <w:ilvl w:val="5"/>
        <w:numId w:val="1"/>
      </w:numPr>
      <w:outlineLvl w:val="5"/>
    </w:pPr>
    <w:rPr>
      <w:rFonts w:ascii="Arial" w:hAnsi="Arial" w:cs="Arial"/>
      <w:b/>
      <w:color w:val="000000"/>
      <w:sz w:val="20"/>
      <w:szCs w:val="20"/>
    </w:rPr>
  </w:style>
  <w:style w:type="character" w:styleId="WW8Num2z0">
    <w:name w:val="WW8Num2z0"/>
    <w:qFormat/>
    <w:rPr/>
  </w:style>
  <w:style w:type="character" w:styleId="WW8Num4z0">
    <w:name w:val="WW8Num4z0"/>
    <w:qFormat/>
    <w:rPr>
      <w:rFonts w:ascii="Arial" w:hAnsi="Arial" w:cs="Arial"/>
    </w:rPr>
  </w:style>
  <w:style w:type="character" w:styleId="WW8Num5z0">
    <w:name w:val="WW8Num5z0"/>
    <w:qFormat/>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rFonts w:ascii="Wingdings" w:hAnsi="Wingdings" w:cs="Wingdings"/>
    </w:rPr>
  </w:style>
  <w:style w:type="character" w:styleId="WW8Num31z0">
    <w:name w:val="WW8Num31z0"/>
    <w:qFormat/>
    <w:rPr>
      <w:u w:val="none"/>
    </w:rPr>
  </w:style>
  <w:style w:type="character" w:styleId="WW8Num32z0">
    <w:name w:val="WW8Num32z0"/>
    <w:qFormat/>
    <w:rPr>
      <w:rFonts w:ascii="Wingdings" w:hAnsi="Wingdings" w:cs="Wingdings"/>
    </w:rPr>
  </w:style>
  <w:style w:type="character" w:styleId="WW8Num33z0">
    <w:name w:val="WW8Num33z0"/>
    <w:qFormat/>
    <w:rPr/>
  </w:style>
  <w:style w:type="character" w:styleId="WW8Num34z0">
    <w:name w:val="WW8Num34z0"/>
    <w:qFormat/>
    <w:rPr>
      <w:rFonts w:ascii="Wingdings" w:hAnsi="Wingdings" w:cs="Wingdings"/>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1z0">
    <w:name w:val="WW8Num41z0"/>
    <w:qFormat/>
    <w:rPr>
      <w:rFonts w:ascii="Wingdings" w:hAnsi="Wingdings" w:cs="Wingdings"/>
    </w:rPr>
  </w:style>
  <w:style w:type="character" w:styleId="WW8Num42z0">
    <w:name w:val="WW8Num42z0"/>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style>
  <w:style w:type="character" w:styleId="WW8Num53z0">
    <w:name w:val="WW8Num53z0"/>
    <w:qFormat/>
    <w:rPr>
      <w:rFonts w:ascii="Wingdings" w:hAnsi="Wingdings" w:cs="Wingdings"/>
    </w:rPr>
  </w:style>
  <w:style w:type="character" w:styleId="WW8Num54z0">
    <w:name w:val="WW8Num54z0"/>
    <w:qFormat/>
    <w:rPr/>
  </w:style>
  <w:style w:type="character" w:styleId="WW8Num55z0">
    <w:name w:val="WW8Num55z0"/>
    <w:qFormat/>
    <w:rPr>
      <w:rFonts w:ascii="Wingdings" w:hAnsi="Wingdings" w:cs="Wingdings"/>
    </w:rPr>
  </w:style>
  <w:style w:type="character" w:styleId="WW8Num56z0">
    <w:name w:val="WW8Num56z0"/>
    <w:qFormat/>
    <w:rPr>
      <w:rFonts w:ascii="Wingdings" w:hAnsi="Wingdings" w:cs="Wingdings"/>
    </w:rPr>
  </w:style>
  <w:style w:type="character" w:styleId="WW8Num57z0">
    <w:name w:val="WW8Num57z0"/>
    <w:qFormat/>
    <w:rPr>
      <w:rFonts w:ascii="Wingdings" w:hAnsi="Wingdings" w:cs="Wingdings"/>
    </w:rPr>
  </w:style>
  <w:style w:type="character" w:styleId="WW8Num58z0">
    <w:name w:val="WW8Num58z0"/>
    <w:qFormat/>
    <w:rPr/>
  </w:style>
  <w:style w:type="character" w:styleId="WW8Num59z0">
    <w:name w:val="WW8Num59z0"/>
    <w:qFormat/>
    <w:rPr>
      <w:rFonts w:ascii="Wingdings" w:hAnsi="Wingdings" w:cs="Wingdings"/>
    </w:rPr>
  </w:style>
  <w:style w:type="character" w:styleId="WW8Num60z0">
    <w:name w:val="WW8Num60z0"/>
    <w:qFormat/>
    <w:rPr/>
  </w:style>
  <w:style w:type="character" w:styleId="WW8Num61z0">
    <w:name w:val="WW8Num61z0"/>
    <w:qFormat/>
    <w:rPr>
      <w:rFonts w:ascii="Wingdings" w:hAnsi="Wingdings" w:cs="Wingdings"/>
    </w:rPr>
  </w:style>
  <w:style w:type="character" w:styleId="WW8Num62z0">
    <w:name w:val="WW8Num62z0"/>
    <w:qFormat/>
    <w:rPr/>
  </w:style>
  <w:style w:type="character" w:styleId="WW8Num63z0">
    <w:name w:val="WW8Num63z0"/>
    <w:qFormat/>
    <w:rPr>
      <w:rFonts w:ascii="Wingdings" w:hAnsi="Wingdings" w:cs="Wingdings"/>
    </w:rPr>
  </w:style>
  <w:style w:type="character" w:styleId="WW8Num65z0">
    <w:name w:val="WW8Num65z0"/>
    <w:qFormat/>
    <w:rPr>
      <w:rFonts w:ascii="Wingdings" w:hAnsi="Wingdings" w:cs="Wingdings"/>
    </w:rPr>
  </w:style>
  <w:style w:type="character" w:styleId="WW8NumSt63z0">
    <w:name w:val="WW8NumSt6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1">
    <w:name w:val="Style1"/>
    <w:basedOn w:val="Normal"/>
    <w:qFormat/>
    <w:pPr>
      <w:spacing w:before="120" w:after="120"/>
      <w:ind w:firstLine="576" w:start="0" w:end="0"/>
      <w:jc w:val="both"/>
    </w:pPr>
    <w:rPr>
      <w:szCs w:val="20"/>
    </w:rPr>
  </w:style>
  <w:style w:type="paragraph" w:styleId="FootnoteText">
    <w:name w:val="footnote text"/>
    <w:basedOn w:val="BodyText"/>
    <w:pPr>
      <w:spacing w:before="60" w:after="60"/>
      <w:jc w:val="both"/>
    </w:pPr>
    <w:rPr>
      <w:rFonts w:ascii="Arial" w:hAnsi="Arial" w:cs="Arial"/>
      <w:sz w:val="20"/>
      <w:szCs w:val="20"/>
    </w:rPr>
  </w:style>
  <w:style w:type="paragraph" w:styleId="Style21">
    <w:name w:val="Style2"/>
    <w:basedOn w:val="Normal"/>
    <w:qFormat/>
    <w:pPr>
      <w:spacing w:before="0" w:after="120"/>
      <w:jc w:val="both"/>
    </w:pPr>
    <w:rPr>
      <w:sz w:val="22"/>
      <w:szCs w:val="20"/>
    </w:rPr>
  </w:style>
  <w:style w:type="paragraph" w:styleId="Style31">
    <w:name w:val="Style3"/>
    <w:basedOn w:val="Style21"/>
    <w:qFormat/>
    <w:pPr>
      <w:spacing w:before="120" w:after="180"/>
    </w:pPr>
    <w:rPr>
      <w:sz w:val="24"/>
    </w:rPr>
  </w:style>
  <w:style w:type="paragraph" w:styleId="BodyText2">
    <w:name w:val="Body Text 2"/>
    <w:basedOn w:val="Normal"/>
    <w:qFormat/>
    <w:pPr/>
    <w:rPr>
      <w:b/>
      <w:bCs/>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uc.state.tx.us/electric/projects/20970/pilot/index.cf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2001-08-22T15:49:00Z</dcterms:created>
  <dc:creator>pkeene</dc:creator>
  <dc:description/>
  <dc:language>en-CA</dc:language>
  <cp:lastModifiedBy>pkeene</cp:lastModifiedBy>
  <dcterms:modified xsi:type="dcterms:W3CDTF">2001-08-23T12:26:00Z</dcterms:modified>
  <cp:revision>27</cp:revision>
  <dc:subject/>
  <dc:title>The development of rules and infrastructure for a competitive retail market in Texas has occurred in several tracks: </dc:title>
</cp:coreProperties>
</file>