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rPr>
      </w:pPr>
      <w:r>
        <w:rPr>
          <w:b/>
          <w:bCs/>
          <w:sz w:val="20"/>
        </w:rPr>
        <w:t xml:space="preserve"> </w:t>
      </w:r>
      <w:r>
        <w:rPr>
          <w:b/>
          <w:bCs/>
          <w:sz w:val="20"/>
        </w:rPr>
        <w:t>SET Agenda</w:t>
      </w:r>
    </w:p>
    <w:p>
      <w:pPr>
        <w:pStyle w:val="Normal"/>
        <w:jc w:val="center"/>
        <w:rPr>
          <w:b/>
          <w:bCs/>
          <w:sz w:val="20"/>
        </w:rPr>
      </w:pPr>
      <w:r>
        <w:rPr>
          <w:b/>
          <w:bCs/>
          <w:sz w:val="20"/>
        </w:rPr>
        <w:t>10/23</w:t>
      </w:r>
    </w:p>
    <w:p>
      <w:pPr>
        <w:pStyle w:val="Normal"/>
        <w:rPr>
          <w:b/>
          <w:bCs/>
          <w:sz w:val="20"/>
        </w:rPr>
      </w:pPr>
      <w:r>
        <w:rPr>
          <w:b/>
          <w:bCs/>
          <w:sz w:val="20"/>
        </w:rPr>
      </w:r>
    </w:p>
    <w:p>
      <w:pPr>
        <w:pStyle w:val="Heading3"/>
        <w:ind w:hanging="0" w:start="0"/>
        <w:rPr>
          <w:u w:val="single"/>
        </w:rPr>
      </w:pPr>
      <w:r>
        <w:rPr>
          <w:u w:val="single"/>
        </w:rPr>
        <w:t>Finalize Minutes from 9/26-27 Meeting</w:t>
      </w:r>
    </w:p>
    <w:p>
      <w:pPr>
        <w:pStyle w:val="Normal"/>
        <w:rPr>
          <w:sz w:val="20"/>
          <w:u w:val="single"/>
        </w:rPr>
      </w:pPr>
      <w:r>
        <w:rPr>
          <w:sz w:val="20"/>
          <w:u w:val="single"/>
        </w:rPr>
      </w:r>
    </w:p>
    <w:p>
      <w:pPr>
        <w:pStyle w:val="Heading2"/>
        <w:ind w:hanging="0" w:start="0"/>
        <w:rPr>
          <w:rFonts w:ascii="Times New Roman" w:hAnsi="Times New Roman" w:cs="Times New Roman"/>
          <w:b/>
          <w:bCs/>
          <w:szCs w:val="24"/>
        </w:rPr>
      </w:pPr>
      <w:r>
        <w:rPr>
          <w:rFonts w:cs="Times New Roman" w:ascii="Times New Roman" w:hAnsi="Times New Roman"/>
          <w:b/>
          <w:bCs/>
          <w:szCs w:val="24"/>
        </w:rPr>
        <w:t>ERCOT Update – follow-up items</w:t>
      </w:r>
    </w:p>
    <w:p>
      <w:pPr>
        <w:pStyle w:val="Normal"/>
        <w:rPr>
          <w:rFonts w:ascii="Times New Roman" w:hAnsi="Times New Roman" w:cs="Times New Roman"/>
          <w:b/>
          <w:bCs/>
          <w:sz w:val="20"/>
          <w:szCs w:val="24"/>
        </w:rPr>
      </w:pPr>
      <w:r>
        <w:rPr>
          <w:rFonts w:cs="Times New Roman"/>
          <w:b/>
          <w:bCs/>
          <w:sz w:val="20"/>
          <w:szCs w:val="24"/>
        </w:rPr>
      </w:r>
    </w:p>
    <w:p>
      <w:pPr>
        <w:pStyle w:val="Heading2"/>
        <w:tabs>
          <w:tab w:val="clear" w:pos="720"/>
          <w:tab w:val="left" w:pos="2520" w:leader="none"/>
        </w:tabs>
        <w:ind w:hanging="0" w:start="0"/>
        <w:rPr/>
      </w:pPr>
      <w:r>
        <w:rPr>
          <w:rFonts w:cs="Times New Roman" w:ascii="Times New Roman" w:hAnsi="Times New Roman"/>
          <w:b/>
          <w:bCs/>
        </w:rPr>
        <w:t>Tuesday– October 23rd</w:t>
      </w:r>
      <w:r>
        <w:rPr>
          <w:rFonts w:cs="Times New Roman" w:ascii="Times New Roman" w:hAnsi="Times New Roman"/>
        </w:rPr>
        <w:t xml:space="preserve"> </w:t>
      </w:r>
    </w:p>
    <w:p>
      <w:pPr>
        <w:pStyle w:val="Normal"/>
        <w:tabs>
          <w:tab w:val="clear" w:pos="720"/>
          <w:tab w:val="left" w:pos="2520" w:leader="none"/>
        </w:tabs>
        <w:autoSpaceDE w:val="false"/>
        <w:rPr>
          <w:sz w:val="20"/>
        </w:rPr>
      </w:pPr>
      <w:r>
        <w:rPr>
          <w:sz w:val="20"/>
        </w:rPr>
        <w:t>8:30 AM – 8:45 AM</w:t>
        <w:tab/>
        <w:t>Review Agenda</w:t>
      </w:r>
    </w:p>
    <w:p>
      <w:pPr>
        <w:pStyle w:val="Normal"/>
        <w:tabs>
          <w:tab w:val="clear" w:pos="720"/>
          <w:tab w:val="left" w:pos="2520" w:leader="none"/>
        </w:tabs>
        <w:autoSpaceDE w:val="false"/>
        <w:rPr>
          <w:sz w:val="20"/>
        </w:rPr>
      </w:pPr>
      <w:r>
        <w:rPr>
          <w:sz w:val="20"/>
        </w:rPr>
        <w:t>8:45 AM – 9:00 AM</w:t>
        <w:tab/>
        <w:t>Review Action Items from last meeting</w:t>
      </w:r>
    </w:p>
    <w:p>
      <w:pPr>
        <w:pStyle w:val="Normal"/>
        <w:ind w:start="720" w:end="0"/>
        <w:rPr>
          <w:sz w:val="20"/>
          <w:u w:val="single"/>
        </w:rPr>
      </w:pPr>
      <w:r>
        <w:rPr>
          <w:sz w:val="20"/>
          <w:u w:val="single"/>
        </w:rPr>
        <w:t xml:space="preserve">Action Items:  </w:t>
      </w:r>
    </w:p>
    <w:p>
      <w:pPr>
        <w:pStyle w:val="Normal"/>
        <w:numPr>
          <w:ilvl w:val="0"/>
          <w:numId w:val="2"/>
        </w:numPr>
        <w:rPr>
          <w:sz w:val="20"/>
        </w:rPr>
      </w:pPr>
      <w:r>
        <w:rPr>
          <w:sz w:val="20"/>
        </w:rPr>
        <w:t xml:space="preserve">Susan Neel to issue Change Control to correct grayboxes and add examples.  Graybox wording is unclear on use of BGN06. Guideline examples illustrate BGN06 incorrectly.   </w:t>
      </w:r>
    </w:p>
    <w:p>
      <w:pPr>
        <w:pStyle w:val="Normal"/>
        <w:numPr>
          <w:ilvl w:val="0"/>
          <w:numId w:val="2"/>
        </w:numPr>
        <w:rPr>
          <w:sz w:val="20"/>
        </w:rPr>
      </w:pPr>
      <w:r>
        <w:rPr>
          <w:sz w:val="20"/>
        </w:rPr>
        <w:t xml:space="preserve">Define process to improve Change Control implementation and priority setting. Dave Odle of ERCOT is reviewing process.  </w:t>
      </w:r>
    </w:p>
    <w:p>
      <w:pPr>
        <w:pStyle w:val="Normal"/>
        <w:numPr>
          <w:ilvl w:val="0"/>
          <w:numId w:val="2"/>
        </w:numPr>
        <w:rPr>
          <w:sz w:val="20"/>
        </w:rPr>
      </w:pPr>
      <w:r>
        <w:rPr>
          <w:sz w:val="20"/>
        </w:rPr>
        <w:t>Draft new letter for Drop to POLR– Kyle Patrick, Dave Odle -- Submit Change Control for new letter – Kyle Patrick -- Change flow charts - Christine Meloro --Submit new process to RMS for approval – Texas SET</w:t>
      </w:r>
    </w:p>
    <w:p>
      <w:pPr>
        <w:pStyle w:val="Normal"/>
        <w:numPr>
          <w:ilvl w:val="0"/>
          <w:numId w:val="6"/>
        </w:numPr>
        <w:tabs>
          <w:tab w:val="left" w:pos="720" w:leader="none"/>
        </w:tabs>
        <w:rPr>
          <w:sz w:val="20"/>
        </w:rPr>
      </w:pPr>
      <w:r>
        <w:rPr>
          <w:sz w:val="20"/>
        </w:rPr>
        <w:t>Issue Change Control to use EDI transaction to cancel a pending switch – Dave Odle</w:t>
      </w:r>
    </w:p>
    <w:p>
      <w:pPr>
        <w:pStyle w:val="Normal"/>
        <w:numPr>
          <w:ilvl w:val="0"/>
          <w:numId w:val="6"/>
        </w:numPr>
        <w:tabs>
          <w:tab w:val="left" w:pos="720" w:leader="none"/>
        </w:tabs>
        <w:rPr>
          <w:bCs/>
          <w:sz w:val="20"/>
        </w:rPr>
      </w:pPr>
      <w:r>
        <w:rPr>
          <w:sz w:val="20"/>
        </w:rPr>
        <w:t xml:space="preserve">Change Control will be issued to delete meter number from 650-04 – Susan Neel. </w:t>
      </w:r>
      <w:r>
        <w:rPr>
          <w:bCs/>
          <w:sz w:val="20"/>
        </w:rPr>
        <w:t>Rejection of 650-04 based on invalid meter number.</w:t>
      </w:r>
    </w:p>
    <w:p>
      <w:pPr>
        <w:pStyle w:val="Normal"/>
        <w:numPr>
          <w:ilvl w:val="0"/>
          <w:numId w:val="6"/>
        </w:numPr>
        <w:tabs>
          <w:tab w:val="left" w:pos="720" w:leader="none"/>
        </w:tabs>
        <w:rPr>
          <w:sz w:val="20"/>
        </w:rPr>
      </w:pPr>
      <w:r>
        <w:rPr>
          <w:sz w:val="20"/>
        </w:rPr>
        <w:t xml:space="preserve">Original Change Control was withdrawn and a new Change Control will be resubmitted. 814_PC - make it clear that the FJ and the PER must be a title and a name, or a name and the same name, but not name 1 and name 2: </w:t>
      </w:r>
    </w:p>
    <w:p>
      <w:pPr>
        <w:pStyle w:val="Normal"/>
        <w:numPr>
          <w:ilvl w:val="0"/>
          <w:numId w:val="6"/>
        </w:numPr>
        <w:tabs>
          <w:tab w:val="left" w:pos="720" w:leader="none"/>
        </w:tabs>
        <w:rPr>
          <w:bCs/>
          <w:sz w:val="20"/>
        </w:rPr>
      </w:pPr>
      <w:r>
        <w:rPr>
          <w:sz w:val="20"/>
        </w:rPr>
        <w:t>Issue Change Control to include examples of un-metered services in the 814-20, and add explanatory verbiage to guideline.  Annette Morton – AEP  (</w:t>
      </w:r>
      <w:r>
        <w:rPr>
          <w:bCs/>
          <w:sz w:val="20"/>
        </w:rPr>
        <w:t>Examples for an 814-20 for un-metered services)</w:t>
      </w:r>
    </w:p>
    <w:p>
      <w:pPr>
        <w:pStyle w:val="Normal"/>
        <w:numPr>
          <w:ilvl w:val="0"/>
          <w:numId w:val="6"/>
        </w:numPr>
        <w:tabs>
          <w:tab w:val="left" w:pos="720" w:leader="none"/>
        </w:tabs>
        <w:rPr>
          <w:sz w:val="20"/>
        </w:rPr>
      </w:pPr>
      <w:r>
        <w:rPr>
          <w:sz w:val="20"/>
        </w:rPr>
        <w:t>Prepare Issue Statement for a move out during a Pending Switch - Assigned to Christine Meloro</w:t>
      </w:r>
    </w:p>
    <w:p>
      <w:pPr>
        <w:pStyle w:val="Normal"/>
        <w:numPr>
          <w:ilvl w:val="0"/>
          <w:numId w:val="6"/>
        </w:numPr>
        <w:tabs>
          <w:tab w:val="left" w:pos="720" w:leader="none"/>
        </w:tabs>
        <w:rPr>
          <w:sz w:val="20"/>
        </w:rPr>
      </w:pPr>
      <w:r>
        <w:rPr>
          <w:sz w:val="20"/>
        </w:rPr>
        <w:t>Prepare Change Control – Dave Roberson (reassigned from Jason Wrubel) - Change Control for 814-08 BGN06:  Change the 814-08 BGN06 to add the 814-16 to the list of valid transactions.</w:t>
      </w:r>
    </w:p>
    <w:p>
      <w:pPr>
        <w:pStyle w:val="Normal"/>
        <w:numPr>
          <w:ilvl w:val="0"/>
          <w:numId w:val="6"/>
        </w:numPr>
        <w:rPr>
          <w:sz w:val="20"/>
        </w:rPr>
      </w:pPr>
      <w:r>
        <w:rPr>
          <w:sz w:val="20"/>
        </w:rPr>
        <w:t>ERCOT. What is cut off for system change requests for RFP? – Dave Odle</w:t>
      </w:r>
    </w:p>
    <w:p>
      <w:pPr>
        <w:pStyle w:val="Normal"/>
        <w:numPr>
          <w:ilvl w:val="0"/>
          <w:numId w:val="6"/>
        </w:numPr>
        <w:rPr>
          <w:sz w:val="20"/>
        </w:rPr>
      </w:pPr>
      <w:r>
        <w:rPr>
          <w:sz w:val="20"/>
        </w:rPr>
        <w:t>TX SET needs to develop options on Drop to POLR / Concurrent processing to present to RMS.  This was not assigned.</w:t>
      </w:r>
    </w:p>
    <w:p>
      <w:pPr>
        <w:pStyle w:val="Normal"/>
        <w:numPr>
          <w:ilvl w:val="0"/>
          <w:numId w:val="6"/>
        </w:numPr>
        <w:rPr>
          <w:sz w:val="20"/>
        </w:rPr>
      </w:pPr>
      <w:r>
        <w:rPr>
          <w:sz w:val="20"/>
        </w:rPr>
        <w:t>ERCOT to develop a change control to allow CR’s to cancel an 814_01 with an 814_08.</w:t>
      </w:r>
    </w:p>
    <w:p>
      <w:pPr>
        <w:pStyle w:val="Normal"/>
        <w:tabs>
          <w:tab w:val="clear" w:pos="720"/>
          <w:tab w:val="left" w:pos="2520" w:leader="none"/>
        </w:tabs>
        <w:autoSpaceDE w:val="false"/>
        <w:rPr>
          <w:sz w:val="20"/>
        </w:rPr>
      </w:pPr>
      <w:r>
        <w:rPr>
          <w:sz w:val="20"/>
        </w:rPr>
      </w:r>
    </w:p>
    <w:p>
      <w:pPr>
        <w:pStyle w:val="Normal"/>
        <w:tabs>
          <w:tab w:val="clear" w:pos="720"/>
          <w:tab w:val="left" w:pos="2520" w:leader="none"/>
        </w:tabs>
        <w:autoSpaceDE w:val="false"/>
        <w:rPr>
          <w:sz w:val="20"/>
        </w:rPr>
      </w:pPr>
      <w:r>
        <w:rPr>
          <w:sz w:val="20"/>
        </w:rPr>
        <w:t>9:00 AM – 10:00 AM</w:t>
        <w:tab/>
        <w:t>Future Releases Discussion</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future release dates; items to be included in v1.4; Do you know what all is in Phase II and what and when will Phase III planning start?</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Add on the agenda an update on the Version 1.4 conversion for Market OPEN.</w:t>
      </w:r>
    </w:p>
    <w:p>
      <w:pPr>
        <w:pStyle w:val="Normal"/>
        <w:tabs>
          <w:tab w:val="clear" w:pos="720"/>
          <w:tab w:val="left" w:pos="2520" w:leader="none"/>
        </w:tabs>
        <w:autoSpaceDE w:val="false"/>
        <w:rPr>
          <w:sz w:val="20"/>
          <w:szCs w:val="20"/>
        </w:rPr>
      </w:pPr>
      <w:r>
        <w:rPr>
          <w:sz w:val="20"/>
          <w:szCs w:val="20"/>
        </w:rPr>
      </w:r>
    </w:p>
    <w:p>
      <w:pPr>
        <w:pStyle w:val="Normal"/>
        <w:tabs>
          <w:tab w:val="clear" w:pos="720"/>
          <w:tab w:val="left" w:pos="2520" w:leader="none"/>
        </w:tabs>
        <w:autoSpaceDE w:val="false"/>
        <w:rPr>
          <w:sz w:val="20"/>
        </w:rPr>
      </w:pPr>
      <w:r>
        <w:rPr>
          <w:sz w:val="20"/>
        </w:rPr>
        <w:t xml:space="preserve">10:00 AM – 10:15 AM </w:t>
        <w:tab/>
        <w:t>BREAK</w:t>
      </w:r>
    </w:p>
    <w:p>
      <w:pPr>
        <w:pStyle w:val="Normal"/>
        <w:tabs>
          <w:tab w:val="clear" w:pos="720"/>
          <w:tab w:val="left" w:pos="2520" w:leader="none"/>
        </w:tabs>
        <w:autoSpaceDE w:val="false"/>
        <w:ind w:hanging="2520" w:start="2520" w:end="0"/>
        <w:rPr/>
      </w:pPr>
      <w:r>
        <w:rPr>
          <w:sz w:val="20"/>
        </w:rPr>
        <w:t>10:15 AM – 12:00 AM</w:t>
        <w:tab/>
      </w:r>
      <w:r>
        <w:rPr>
          <w:sz w:val="20"/>
          <w:szCs w:val="20"/>
        </w:rPr>
        <w:t>MIMO Workshop - any pending emergency changes that come out of the MIMO workshop for the temporary workarounds; TAC approved PRR251,258,259, and 260 , so we are in good shape for those.</w:t>
      </w:r>
    </w:p>
    <w:p>
      <w:pPr>
        <w:pStyle w:val="Normal"/>
        <w:ind w:hanging="2520" w:start="2520" w:end="0"/>
        <w:rPr>
          <w:sz w:val="20"/>
          <w:szCs w:val="20"/>
        </w:rPr>
      </w:pPr>
      <w:r>
        <w:rPr>
          <w:sz w:val="20"/>
          <w:szCs w:val="20"/>
        </w:rPr>
      </w:r>
    </w:p>
    <w:p>
      <w:pPr>
        <w:pStyle w:val="Heading2"/>
        <w:ind w:hanging="0" w:start="2520" w:end="0"/>
        <w:rPr>
          <w:rFonts w:ascii="Times New Roman" w:hAnsi="Times New Roman" w:cs="Times New Roman"/>
        </w:rPr>
      </w:pPr>
      <w:r>
        <w:rPr>
          <w:rFonts w:cs="Times New Roman" w:ascii="Times New Roman" w:hAnsi="Times New Roman"/>
        </w:rPr>
        <w:t xml:space="preserve">SET Action Items from RMS Issues – review proposal to RMS: </w:t>
      </w:r>
    </w:p>
    <w:p>
      <w:pPr>
        <w:pStyle w:val="Normal"/>
        <w:numPr>
          <w:ilvl w:val="0"/>
          <w:numId w:val="7"/>
        </w:numPr>
        <w:ind w:hanging="360" w:start="2880" w:end="0"/>
        <w:rPr>
          <w:sz w:val="20"/>
        </w:rPr>
      </w:pPr>
      <w:r>
        <w:rPr>
          <w:sz w:val="20"/>
        </w:rPr>
        <w:t>Stacked Move-Ins – Susan Neel</w:t>
      </w:r>
    </w:p>
    <w:p>
      <w:pPr>
        <w:pStyle w:val="Normal"/>
        <w:numPr>
          <w:ilvl w:val="0"/>
          <w:numId w:val="7"/>
        </w:numPr>
        <w:ind w:hanging="360" w:start="2880" w:end="0"/>
        <w:rPr>
          <w:sz w:val="20"/>
        </w:rPr>
      </w:pPr>
      <w:r>
        <w:rPr>
          <w:sz w:val="20"/>
        </w:rPr>
        <w:t>Move-Out with Switch Pending – Christine Meloro</w:t>
      </w:r>
    </w:p>
    <w:p>
      <w:pPr>
        <w:pStyle w:val="Normal"/>
        <w:numPr>
          <w:ilvl w:val="0"/>
          <w:numId w:val="7"/>
        </w:numPr>
        <w:ind w:hanging="360" w:start="2880" w:end="0"/>
        <w:rPr>
          <w:sz w:val="20"/>
        </w:rPr>
      </w:pPr>
      <w:r>
        <w:rPr>
          <w:sz w:val="20"/>
        </w:rPr>
        <w:t>Move-In with date change  - Kyle Patrick</w:t>
      </w:r>
    </w:p>
    <w:p>
      <w:pPr>
        <w:pStyle w:val="Normal"/>
        <w:numPr>
          <w:ilvl w:val="0"/>
          <w:numId w:val="7"/>
        </w:numPr>
        <w:tabs>
          <w:tab w:val="clear" w:pos="720"/>
          <w:tab w:val="left" w:pos="2520" w:leader="none"/>
        </w:tabs>
        <w:ind w:hanging="360" w:start="2880" w:end="0"/>
        <w:rPr>
          <w:sz w:val="20"/>
        </w:rPr>
      </w:pPr>
      <w:r>
        <w:rPr>
          <w:sz w:val="20"/>
        </w:rPr>
        <w:t>Rejection of a Move-Out/Move-In for a date in the past – Dave Odle</w:t>
      </w:r>
    </w:p>
    <w:p>
      <w:pPr>
        <w:pStyle w:val="Normal"/>
        <w:ind w:hanging="2520" w:start="2520" w:end="0"/>
        <w:rPr>
          <w:sz w:val="20"/>
        </w:rPr>
      </w:pPr>
      <w:r>
        <w:rPr>
          <w:sz w:val="20"/>
        </w:rPr>
      </w:r>
    </w:p>
    <w:p>
      <w:pPr>
        <w:pStyle w:val="Normal"/>
        <w:ind w:hanging="2520" w:start="2520" w:end="0"/>
        <w:rPr>
          <w:sz w:val="20"/>
        </w:rPr>
      </w:pPr>
      <w:r>
        <w:rPr>
          <w:sz w:val="20"/>
        </w:rPr>
        <w:t>12:00AM – 1:00PM</w:t>
        <w:tab/>
        <w:t>LUNCH</w:t>
      </w:r>
    </w:p>
    <w:p>
      <w:pPr>
        <w:pStyle w:val="Heading2"/>
        <w:tabs>
          <w:tab w:val="clear" w:pos="720"/>
          <w:tab w:val="left" w:pos="2520" w:leader="none"/>
        </w:tabs>
        <w:ind w:hanging="0" w:start="0"/>
        <w:rPr>
          <w:rFonts w:ascii="Times New Roman" w:hAnsi="Times New Roman" w:cs="Times New Roman"/>
        </w:rPr>
      </w:pPr>
      <w:r>
        <w:rPr>
          <w:rFonts w:cs="Times New Roman" w:ascii="Times New Roman" w:hAnsi="Times New Roman"/>
          <w:u w:val="none"/>
        </w:rPr>
        <w:t>1:00PM – 2:30 PM</w:t>
        <w:tab/>
        <w:t>814_28/29 Notification Transaction</w:t>
      </w:r>
    </w:p>
    <w:p>
      <w:pPr>
        <w:pStyle w:val="Normal"/>
        <w:numPr>
          <w:ilvl w:val="0"/>
          <w:numId w:val="6"/>
        </w:numPr>
        <w:tabs>
          <w:tab w:val="clear" w:pos="720"/>
          <w:tab w:val="left" w:pos="2520" w:leader="none"/>
        </w:tabs>
        <w:autoSpaceDE w:val="false"/>
        <w:ind w:hanging="360" w:start="2520" w:end="0"/>
        <w:rPr>
          <w:sz w:val="20"/>
        </w:rPr>
      </w:pPr>
      <w:r>
        <w:rPr>
          <w:sz w:val="20"/>
          <w:szCs w:val="20"/>
        </w:rPr>
        <w:t>finalizing where we stand on the 814_28/29; the business process flow related to the 814_28 &amp; 29.</w:t>
      </w:r>
    </w:p>
    <w:p>
      <w:pPr>
        <w:pStyle w:val="Normal"/>
        <w:autoSpaceDE w:val="false"/>
        <w:ind w:start="2160" w:end="0"/>
        <w:rPr>
          <w:sz w:val="20"/>
          <w:u w:val="single"/>
        </w:rPr>
      </w:pPr>
      <w:r>
        <w:rPr>
          <w:sz w:val="20"/>
          <w:u w:val="single"/>
        </w:rPr>
        <w:t>Leftover questions from last meeting:</w:t>
      </w:r>
    </w:p>
    <w:p>
      <w:pPr>
        <w:pStyle w:val="Normal"/>
        <w:numPr>
          <w:ilvl w:val="0"/>
          <w:numId w:val="5"/>
        </w:numPr>
        <w:tabs>
          <w:tab w:val="clear" w:pos="720"/>
          <w:tab w:val="left" w:pos="2520" w:leader="none"/>
        </w:tabs>
        <w:autoSpaceDE w:val="false"/>
        <w:ind w:hanging="360" w:start="2520" w:end="0"/>
        <w:rPr>
          <w:sz w:val="20"/>
        </w:rPr>
      </w:pPr>
      <w:r>
        <w:rPr>
          <w:sz w:val="20"/>
        </w:rPr>
        <w:t>D</w:t>
      </w:r>
      <w:r>
        <w:rPr>
          <w:sz w:val="20"/>
          <w:szCs w:val="20"/>
        </w:rPr>
        <w:t>rop to POLR - What happens when the TDSP is unable to read the meter - should the TDSP disconnect?</w:t>
      </w:r>
      <w:r>
        <w:rPr>
          <w:sz w:val="20"/>
        </w:rPr>
        <w:t xml:space="preserve"> </w:t>
      </w:r>
    </w:p>
    <w:p>
      <w:pPr>
        <w:pStyle w:val="Normal"/>
        <w:numPr>
          <w:ilvl w:val="0"/>
          <w:numId w:val="5"/>
        </w:numPr>
        <w:tabs>
          <w:tab w:val="clear" w:pos="720"/>
          <w:tab w:val="left" w:pos="2520" w:leader="none"/>
        </w:tabs>
        <w:spacing w:before="0" w:after="0"/>
        <w:ind w:hanging="360" w:start="2520" w:end="0"/>
        <w:rPr>
          <w:sz w:val="20"/>
        </w:rPr>
      </w:pPr>
      <w:r>
        <w:rPr>
          <w:sz w:val="20"/>
          <w:szCs w:val="20"/>
        </w:rPr>
        <w:t xml:space="preserve">Should the 814_04 include all data-related reject reasons?  We would like to use the 814_04 for all data-related rejects and restrict use of the 814_28 to "permit required" and "completed unexecutable" communications from the TDSP to the CR.  This would require bolstering the 814_04 to reflect all reject values currently in a 650_02. </w:t>
      </w:r>
    </w:p>
    <w:p>
      <w:pPr>
        <w:pStyle w:val="Normal"/>
        <w:numPr>
          <w:ilvl w:val="0"/>
          <w:numId w:val="5"/>
        </w:numPr>
        <w:tabs>
          <w:tab w:val="clear" w:pos="720"/>
          <w:tab w:val="left" w:pos="2520" w:leader="none"/>
        </w:tabs>
        <w:spacing w:before="0" w:after="0"/>
        <w:ind w:hanging="360" w:start="2520" w:end="0"/>
        <w:rPr>
          <w:sz w:val="20"/>
        </w:rPr>
      </w:pPr>
      <w:r>
        <w:rPr>
          <w:sz w:val="20"/>
          <w:szCs w:val="20"/>
        </w:rPr>
        <w:t>The draft 814_28 transaction is supposed to complete and close out a transaction in the TDSP's system.  There is no "pend" status contemplated in PRR's 258, 259 and 261.  Flow charts need to be created to reflect the close-out in ERCOT's and the CR's systems.  We're not certain that this lack of pend status is what the market agreed to.</w:t>
      </w:r>
      <w:r>
        <w:rPr>
          <w:sz w:val="20"/>
        </w:rPr>
        <w:t xml:space="preserve"> </w:t>
      </w:r>
    </w:p>
    <w:p>
      <w:pPr>
        <w:pStyle w:val="Normal"/>
        <w:numPr>
          <w:ilvl w:val="0"/>
          <w:numId w:val="5"/>
        </w:numPr>
        <w:tabs>
          <w:tab w:val="clear" w:pos="720"/>
          <w:tab w:val="left" w:pos="2520" w:leader="none"/>
        </w:tabs>
        <w:spacing w:before="0" w:after="0"/>
        <w:ind w:hanging="360" w:start="2520" w:end="0"/>
        <w:rPr>
          <w:sz w:val="20"/>
        </w:rPr>
      </w:pPr>
      <w:r>
        <w:rPr>
          <w:sz w:val="20"/>
          <w:szCs w:val="20"/>
        </w:rPr>
        <w:t xml:space="preserve">There is a concern about timing because the 814_28 closes the life cycle which could significantly affect the timing for a move-in and a drop to POLR. </w:t>
      </w:r>
    </w:p>
    <w:p>
      <w:pPr>
        <w:pStyle w:val="Normal"/>
        <w:numPr>
          <w:ilvl w:val="0"/>
          <w:numId w:val="5"/>
        </w:numPr>
        <w:tabs>
          <w:tab w:val="clear" w:pos="720"/>
          <w:tab w:val="left" w:pos="2520" w:leader="none"/>
        </w:tabs>
        <w:spacing w:before="0" w:after="0"/>
        <w:ind w:hanging="360" w:start="2520" w:end="0"/>
        <w:rPr>
          <w:sz w:val="20"/>
        </w:rPr>
      </w:pPr>
      <w:r>
        <w:rPr>
          <w:sz w:val="20"/>
          <w:szCs w:val="20"/>
        </w:rPr>
        <w:t>Should a "permit required" be a competition or a pend?  According to PRR's 258, 259 and 261, it is a completion, but some CRs are concerned about the timing aspects.  There is also concern whether there is any way for a TDSP to pend an 814_03 by failing to return an 814_04 until completion occurs or until the TDSP completes unexecutable through the 814_28 or determines that a permit is required and sends the 814_28.  If a permit is required, and the TDSP has sent an 814_04, does the TDSP send another 814_04 when the permit is received?</w:t>
      </w:r>
      <w:r>
        <w:rPr>
          <w:sz w:val="20"/>
        </w:rPr>
        <w:t xml:space="preserve"> </w:t>
      </w:r>
    </w:p>
    <w:p>
      <w:pPr>
        <w:pStyle w:val="Normal"/>
        <w:numPr>
          <w:ilvl w:val="0"/>
          <w:numId w:val="5"/>
        </w:numPr>
        <w:tabs>
          <w:tab w:val="clear" w:pos="720"/>
          <w:tab w:val="left" w:pos="2520" w:leader="none"/>
        </w:tabs>
        <w:spacing w:before="0" w:after="0"/>
        <w:ind w:hanging="360" w:start="2520" w:end="0"/>
        <w:rPr>
          <w:sz w:val="20"/>
        </w:rPr>
      </w:pPr>
      <w:r>
        <w:rPr>
          <w:sz w:val="20"/>
          <w:szCs w:val="20"/>
        </w:rPr>
        <w:t>Does the 814_28 need to contain information such as Distribution Loss Factor, Station ID, Meter Type, Load Profile, etc. etc. (required based on ERCOT PRR 258, Section 15.1.1.7....however PRR 259 does not require this on the 814_28, Section 15.1.4.5....).</w:t>
      </w:r>
      <w:r>
        <w:rPr>
          <w:sz w:val="20"/>
        </w:rPr>
        <w:t xml:space="preserve"> </w:t>
      </w:r>
    </w:p>
    <w:p>
      <w:pPr>
        <w:pStyle w:val="Normal"/>
        <w:numPr>
          <w:ilvl w:val="0"/>
          <w:numId w:val="5"/>
        </w:numPr>
        <w:tabs>
          <w:tab w:val="clear" w:pos="720"/>
          <w:tab w:val="left" w:pos="2520" w:leader="none"/>
        </w:tabs>
        <w:spacing w:before="0" w:after="280"/>
        <w:ind w:hanging="360" w:start="2520" w:end="0"/>
        <w:rPr>
          <w:sz w:val="20"/>
        </w:rPr>
      </w:pPr>
      <w:r>
        <w:rPr>
          <w:sz w:val="20"/>
          <w:szCs w:val="20"/>
        </w:rPr>
        <w:t>A lot of information was kept in the 814_29 which is simply a mirror back through ERCOT to the TDSP of information sent by the TDSP in the 814_28, including all of the information in the above bullet.  Can some of this be dropped?  The 814_29 is only supposed to be a response to the 814_28 and not a vehicle for sending other information from ERCOT or the CR back to the TDSP.</w:t>
      </w:r>
    </w:p>
    <w:p>
      <w:pPr>
        <w:pStyle w:val="Normal"/>
        <w:tabs>
          <w:tab w:val="clear" w:pos="720"/>
          <w:tab w:val="left" w:pos="2520" w:leader="none"/>
        </w:tabs>
        <w:autoSpaceDE w:val="false"/>
        <w:rPr>
          <w:sz w:val="20"/>
        </w:rPr>
      </w:pPr>
      <w:r>
        <w:rPr>
          <w:sz w:val="20"/>
        </w:rPr>
        <w:t>2:30 PM – 3:00 PM</w:t>
        <w:tab/>
        <w:t>TX SET/TX Test Plan Coordination</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Are TX SET members having issues with TTPT's work?  If so, what can we need to do to alleviate concerns?</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Is the Change Control Process for allocating a testing date after TX SET approves the change control and assigns the production implementation date (that Dave Odle mentioned) agreeable to TX SET?  If not, will TX SET offer an alternative solution?</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TTPT scheduled out testing flights for 2002 (these still require RMS approval):</w:t>
      </w:r>
    </w:p>
    <w:p>
      <w:pPr>
        <w:pStyle w:val="Normal"/>
        <w:autoSpaceDE w:val="false"/>
        <w:ind w:hanging="3780" w:start="7200" w:end="0"/>
        <w:rPr>
          <w:sz w:val="20"/>
          <w:szCs w:val="20"/>
        </w:rPr>
      </w:pPr>
      <w:r>
        <w:rPr>
          <w:sz w:val="20"/>
          <w:szCs w:val="20"/>
        </w:rPr>
        <w:t>March 18th - for TX SET v1.4 + emergency - a duplicate of F1001 - approved at September RMS Meeting</w:t>
      </w:r>
    </w:p>
    <w:p>
      <w:pPr>
        <w:pStyle w:val="Normal"/>
        <w:autoSpaceDE w:val="false"/>
        <w:ind w:start="3420" w:end="0"/>
        <w:rPr>
          <w:sz w:val="20"/>
          <w:szCs w:val="20"/>
        </w:rPr>
      </w:pPr>
      <w:r>
        <w:rPr>
          <w:sz w:val="20"/>
          <w:szCs w:val="20"/>
        </w:rPr>
        <w:t>July 8th</w:t>
      </w:r>
    </w:p>
    <w:p>
      <w:pPr>
        <w:pStyle w:val="Normal"/>
        <w:autoSpaceDE w:val="false"/>
        <w:ind w:start="3420" w:end="0"/>
        <w:rPr>
          <w:sz w:val="20"/>
          <w:szCs w:val="20"/>
        </w:rPr>
      </w:pPr>
      <w:r>
        <w:rPr>
          <w:sz w:val="20"/>
          <w:szCs w:val="20"/>
        </w:rPr>
        <w:t>November 4th</w:t>
      </w:r>
    </w:p>
    <w:p>
      <w:pPr>
        <w:pStyle w:val="Normal"/>
        <w:numPr>
          <w:ilvl w:val="0"/>
          <w:numId w:val="4"/>
        </w:numPr>
        <w:tabs>
          <w:tab w:val="clear" w:pos="720"/>
          <w:tab w:val="left" w:pos="2520" w:leader="none"/>
        </w:tabs>
        <w:autoSpaceDE w:val="false"/>
        <w:ind w:hanging="360" w:start="2520" w:end="0"/>
        <w:rPr>
          <w:sz w:val="20"/>
          <w:szCs w:val="20"/>
        </w:rPr>
      </w:pPr>
      <w:r>
        <w:rPr>
          <w:sz w:val="20"/>
          <w:szCs w:val="20"/>
        </w:rPr>
        <w:t>TTPT sees a need for an overall Market Manager / Coordinator for the Change Control Process (Coordinate between TX SET, TTPT, RMS Workshops and PUCT Rulemakings )</w:t>
      </w:r>
    </w:p>
    <w:p>
      <w:pPr>
        <w:pStyle w:val="Normal"/>
        <w:numPr>
          <w:ilvl w:val="0"/>
          <w:numId w:val="4"/>
        </w:numPr>
        <w:tabs>
          <w:tab w:val="clear" w:pos="720"/>
          <w:tab w:val="left" w:pos="2520" w:leader="none"/>
        </w:tabs>
        <w:autoSpaceDE w:val="false"/>
        <w:ind w:hanging="360" w:start="2520" w:end="0"/>
        <w:rPr>
          <w:sz w:val="20"/>
          <w:szCs w:val="20"/>
        </w:rPr>
      </w:pPr>
      <w:r>
        <w:rPr>
          <w:sz w:val="20"/>
          <w:szCs w:val="20"/>
        </w:rPr>
        <w:t>How does everyone feel about a joint meeting between the teams? Is it a good idea? (one or more if needed)</w:t>
      </w:r>
    </w:p>
    <w:p>
      <w:pPr>
        <w:pStyle w:val="Normal"/>
        <w:ind w:hanging="2520" w:start="2520" w:end="0"/>
        <w:rPr>
          <w:sz w:val="20"/>
          <w:szCs w:val="20"/>
        </w:rPr>
      </w:pPr>
      <w:r>
        <w:rPr>
          <w:sz w:val="20"/>
          <w:szCs w:val="20"/>
        </w:rPr>
      </w:r>
    </w:p>
    <w:p>
      <w:pPr>
        <w:pStyle w:val="Normal"/>
        <w:ind w:hanging="2520" w:start="2520" w:end="0"/>
        <w:rPr>
          <w:sz w:val="20"/>
        </w:rPr>
      </w:pPr>
      <w:r>
        <w:rPr>
          <w:sz w:val="20"/>
        </w:rPr>
        <w:t>3:00 PM – 3:15 PM</w:t>
        <w:tab/>
        <w:t>BREAK</w:t>
      </w:r>
    </w:p>
    <w:p>
      <w:pPr>
        <w:pStyle w:val="Normal"/>
        <w:tabs>
          <w:tab w:val="clear" w:pos="720"/>
          <w:tab w:val="left" w:pos="2520" w:leader="none"/>
        </w:tabs>
        <w:autoSpaceDE w:val="false"/>
        <w:ind w:hanging="2520" w:start="2520" w:end="0"/>
        <w:rPr/>
      </w:pPr>
      <w:r>
        <w:rPr>
          <w:sz w:val="20"/>
        </w:rPr>
        <w:t>3:15 PM – 4:45 PM</w:t>
        <w:tab/>
      </w:r>
      <w:r>
        <w:rPr>
          <w:sz w:val="20"/>
          <w:szCs w:val="20"/>
        </w:rPr>
        <w:t xml:space="preserve">Policy/procedure - discuss the policy on SEF files generation as well.  </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Update on TAC vote for FUNDING phase two?.  Based on rumor:  we (SET) are wasting our time if our reps are not in support of funding the ERCOT development effort in 2002.</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I understanding from today's testing call that the ITPTA would like for TX SET to possibly remove the two codes in the REF~IP and just have one code.   Has someone already taken on this issue?  RESOLVED??</w:t>
      </w:r>
    </w:p>
    <w:p>
      <w:pPr>
        <w:pStyle w:val="Normal"/>
        <w:numPr>
          <w:ilvl w:val="0"/>
          <w:numId w:val="6"/>
        </w:numPr>
        <w:tabs>
          <w:tab w:val="clear" w:pos="720"/>
          <w:tab w:val="left" w:pos="2520" w:leader="none"/>
        </w:tabs>
        <w:autoSpaceDE w:val="false"/>
        <w:ind w:hanging="360" w:start="2520" w:end="0"/>
        <w:rPr>
          <w:sz w:val="20"/>
          <w:szCs w:val="20"/>
        </w:rPr>
      </w:pPr>
      <w:r>
        <w:rPr>
          <w:sz w:val="20"/>
          <w:szCs w:val="20"/>
        </w:rPr>
        <w:t>The 867-03 now allows for a one-time adjustment for both subtractive or additive.  The question is how will the 867-03 set show the SU loop value if it is negative.</w:t>
      </w:r>
    </w:p>
    <w:p>
      <w:pPr>
        <w:pStyle w:val="Normal"/>
        <w:tabs>
          <w:tab w:val="clear" w:pos="720"/>
          <w:tab w:val="left" w:pos="2520" w:leader="none"/>
        </w:tabs>
        <w:ind w:hanging="2520" w:start="2520" w:end="0"/>
        <w:rPr>
          <w:sz w:val="20"/>
          <w:szCs w:val="20"/>
        </w:rPr>
      </w:pPr>
      <w:r>
        <w:rPr>
          <w:sz w:val="20"/>
          <w:szCs w:val="20"/>
        </w:rPr>
      </w:r>
    </w:p>
    <w:p>
      <w:pPr>
        <w:pStyle w:val="Normal"/>
        <w:tabs>
          <w:tab w:val="clear" w:pos="720"/>
          <w:tab w:val="left" w:pos="2520" w:leader="none"/>
        </w:tabs>
        <w:autoSpaceDE w:val="false"/>
        <w:ind w:hanging="2520" w:start="2520" w:end="0"/>
        <w:rPr>
          <w:sz w:val="20"/>
          <w:szCs w:val="20"/>
        </w:rPr>
      </w:pPr>
      <w:r>
        <w:rPr>
          <w:sz w:val="20"/>
        </w:rPr>
        <w:t>4:45 PM – 5:00PM</w:t>
        <w:tab/>
        <w:t>Review of open issues, Wrap-up, set next meeting dates.</w:t>
      </w:r>
    </w:p>
    <w:p>
      <w:pPr>
        <w:pStyle w:val="Normal"/>
        <w:ind w:hanging="2520" w:start="2520" w:end="0"/>
        <w:rPr>
          <w:sz w:val="20"/>
        </w:rPr>
      </w:pPr>
      <w:r>
        <w:rPr>
          <w:sz w:val="20"/>
        </w:rPr>
        <w:t>5:00 PM</w:t>
        <w:tab/>
        <w:t>ADJOURN</w:t>
      </w:r>
    </w:p>
    <w:p>
      <w:pPr>
        <w:pStyle w:val="Normal"/>
        <w:ind w:hanging="2520" w:start="2520" w:end="0"/>
        <w:rPr>
          <w:sz w:val="20"/>
        </w:rPr>
      </w:pPr>
      <w:r>
        <w:rPr>
          <w:sz w:val="20"/>
        </w:rPr>
      </w:r>
    </w:p>
    <w:p>
      <w:pPr>
        <w:pStyle w:val="Heading2"/>
        <w:ind w:hanging="0" w:start="0"/>
        <w:rPr>
          <w:rFonts w:ascii="Times New Roman" w:hAnsi="Times New Roman" w:cs="Times New Roman"/>
          <w:b/>
          <w:bCs/>
        </w:rPr>
      </w:pPr>
      <w:r>
        <w:rPr>
          <w:rFonts w:cs="Times New Roman" w:ascii="Times New Roman" w:hAnsi="Times New Roman"/>
          <w:b/>
          <w:bCs/>
        </w:rPr>
        <w:t>Old Assignments</w:t>
      </w:r>
    </w:p>
    <w:p>
      <w:pPr>
        <w:pStyle w:val="Normal"/>
        <w:numPr>
          <w:ilvl w:val="0"/>
          <w:numId w:val="3"/>
        </w:numPr>
        <w:rPr>
          <w:sz w:val="20"/>
        </w:rPr>
      </w:pPr>
      <w:r>
        <w:rPr>
          <w:sz w:val="20"/>
        </w:rPr>
        <w:t>Update Data Element Matrix – Kyle Patrick and Randy Brannon.</w:t>
      </w:r>
    </w:p>
    <w:p>
      <w:pPr>
        <w:pStyle w:val="Normal"/>
        <w:numPr>
          <w:ilvl w:val="0"/>
          <w:numId w:val="3"/>
        </w:numPr>
        <w:rPr>
          <w:sz w:val="20"/>
        </w:rPr>
      </w:pPr>
      <w:r>
        <w:rPr>
          <w:sz w:val="20"/>
        </w:rPr>
        <w:t>Update Map descriptions – Randy Brannon.</w:t>
      </w:r>
    </w:p>
    <w:p>
      <w:pPr>
        <w:pStyle w:val="Normal"/>
        <w:numPr>
          <w:ilvl w:val="0"/>
          <w:numId w:val="3"/>
        </w:numPr>
        <w:rPr>
          <w:sz w:val="20"/>
        </w:rPr>
      </w:pPr>
      <w:r>
        <w:rPr>
          <w:sz w:val="20"/>
        </w:rPr>
        <w:t xml:space="preserve">Update Scenario Timing Document – Put on hold.  </w:t>
      </w:r>
    </w:p>
    <w:p>
      <w:pPr>
        <w:pStyle w:val="Normal"/>
        <w:rPr>
          <w:sz w:val="20"/>
        </w:rPr>
      </w:pPr>
      <w:r>
        <w:rPr>
          <w:sz w:val="20"/>
        </w:rPr>
      </w:r>
    </w:p>
    <w:p>
      <w:pPr>
        <w:pStyle w:val="Normal"/>
        <w:rPr>
          <w:b/>
          <w:bCs/>
          <w:sz w:val="20"/>
          <w:u w:val="single"/>
        </w:rPr>
      </w:pPr>
      <w:r>
        <w:rPr>
          <w:b/>
          <w:bCs/>
          <w:sz w:val="20"/>
          <w:u w:val="single"/>
        </w:rPr>
        <w:t>List Serve Agenda Items:</w:t>
      </w:r>
    </w:p>
    <w:p>
      <w:pPr>
        <w:pStyle w:val="Normal"/>
        <w:autoSpaceDE w:val="false"/>
        <w:rPr>
          <w:b/>
          <w:bCs/>
          <w:sz w:val="20"/>
          <w:szCs w:val="20"/>
          <w:u w:val="single"/>
        </w:rPr>
      </w:pPr>
      <w:r>
        <w:rPr>
          <w:b/>
          <w:bCs/>
          <w:sz w:val="20"/>
          <w:szCs w:val="20"/>
          <w:u w:val="single"/>
        </w:rPr>
      </w:r>
    </w:p>
    <w:p>
      <w:pPr>
        <w:pStyle w:val="Normal"/>
        <w:autoSpaceDE w:val="false"/>
        <w:rPr>
          <w:sz w:val="20"/>
          <w:szCs w:val="20"/>
        </w:rPr>
      </w:pPr>
      <w:r>
        <w:rPr>
          <w:sz w:val="20"/>
          <w:szCs w:val="20"/>
        </w:rPr>
      </w:r>
    </w:p>
    <w:p>
      <w:pPr>
        <w:pStyle w:val="Heading1"/>
        <w:spacing w:lineRule="auto" w:line="240"/>
        <w:ind w:hanging="0" w:start="0"/>
        <w:rPr/>
      </w:pPr>
      <w:r>
        <w:rPr/>
        <w:t>Other</w:t>
      </w:r>
    </w:p>
    <w:p>
      <w:pPr>
        <w:pStyle w:val="Normal"/>
        <w:autoSpaceDE w:val="false"/>
        <w:rPr>
          <w:sz w:val="20"/>
          <w:szCs w:val="20"/>
        </w:rPr>
      </w:pPr>
      <w:r>
        <w:rPr>
          <w:sz w:val="20"/>
          <w:szCs w:val="20"/>
        </w:rPr>
        <w:t>867_05 Distribution Loss Factor Daily Report</w:t>
      </w:r>
    </w:p>
    <w:p>
      <w:pPr>
        <w:pStyle w:val="Normal"/>
        <w:autoSpaceDE w:val="false"/>
        <w:rPr>
          <w:sz w:val="20"/>
          <w:szCs w:val="20"/>
        </w:rPr>
      </w:pPr>
      <w:r>
        <w:rPr>
          <w:sz w:val="20"/>
          <w:szCs w:val="20"/>
        </w:rPr>
        <w:t>810_02 TDSP charge codes – Darrell</w:t>
      </w:r>
    </w:p>
    <w:p>
      <w:pPr>
        <w:pStyle w:val="Normal"/>
        <w:autoSpaceDE w:val="false"/>
        <w:rPr>
          <w:sz w:val="20"/>
          <w:szCs w:val="20"/>
        </w:rPr>
      </w:pPr>
      <w:r>
        <w:rPr>
          <w:sz w:val="20"/>
          <w:szCs w:val="20"/>
        </w:rPr>
        <w:t>Muni Co-op Discussion – Final Ts&amp;Cs – consultant??</w:t>
      </w:r>
    </w:p>
    <w:p>
      <w:pPr>
        <w:pStyle w:val="Normal"/>
        <w:autoSpaceDE w:val="false"/>
        <w:rPr>
          <w:sz w:val="20"/>
          <w:szCs w:val="20"/>
        </w:rPr>
      </w:pPr>
      <w:r>
        <w:rPr>
          <w:sz w:val="20"/>
          <w:szCs w:val="20"/>
        </w:rPr>
      </w:r>
    </w:p>
    <w:p>
      <w:pPr>
        <w:pStyle w:val="Normal"/>
        <w:autoSpaceDE w:val="false"/>
        <w:rPr>
          <w:b/>
          <w:bCs/>
          <w:sz w:val="20"/>
          <w:szCs w:val="20"/>
          <w:u w:val="single"/>
        </w:rPr>
      </w:pPr>
      <w:r>
        <w:rPr>
          <w:b/>
          <w:bCs/>
          <w:sz w:val="20"/>
          <w:szCs w:val="20"/>
          <w:u w:val="single"/>
        </w:rPr>
        <w:t>RSVPs:</w:t>
      </w:r>
    </w:p>
    <w:p>
      <w:pPr>
        <w:pStyle w:val="Normal"/>
        <w:autoSpaceDE w:val="false"/>
        <w:rPr>
          <w:sz w:val="20"/>
          <w:szCs w:val="20"/>
        </w:rPr>
      </w:pPr>
      <w:r>
        <w:rPr>
          <w:sz w:val="20"/>
          <w:szCs w:val="20"/>
        </w:rPr>
        <w:t>Cary Reed</w:t>
        <w:tab/>
        <w:tab/>
        <w:t>AEP</w:t>
        <w:tab/>
        <w:tab/>
        <w:tab/>
        <w:t>Susan Neel</w:t>
        <w:tab/>
        <w:tab/>
        <w:t>Reliant HL&amp;P</w:t>
      </w:r>
    </w:p>
    <w:p>
      <w:pPr>
        <w:pStyle w:val="Normal"/>
        <w:autoSpaceDE w:val="false"/>
        <w:rPr>
          <w:sz w:val="20"/>
          <w:szCs w:val="20"/>
        </w:rPr>
      </w:pPr>
      <w:r>
        <w:rPr>
          <w:sz w:val="20"/>
          <w:szCs w:val="20"/>
        </w:rPr>
        <w:t>Johnny Robertson</w:t>
        <w:tab/>
        <w:t>TXU</w:t>
        <w:tab/>
        <w:tab/>
        <w:tab/>
        <w:t xml:space="preserve">Dave Robeson </w:t>
        <w:tab/>
        <w:tab/>
        <w:t>Entergy</w:t>
      </w:r>
    </w:p>
    <w:p>
      <w:pPr>
        <w:pStyle w:val="Normal"/>
        <w:autoSpaceDE w:val="false"/>
        <w:rPr>
          <w:sz w:val="20"/>
          <w:szCs w:val="20"/>
        </w:rPr>
      </w:pPr>
      <w:r>
        <w:rPr>
          <w:sz w:val="20"/>
          <w:szCs w:val="20"/>
        </w:rPr>
        <w:t>Fred Strauss</w:t>
        <w:tab/>
        <w:tab/>
        <w:t>AEP</w:t>
        <w:tab/>
        <w:tab/>
        <w:tab/>
        <w:t>Anette Morton</w:t>
        <w:tab/>
        <w:tab/>
        <w:t>AEP</w:t>
      </w:r>
    </w:p>
    <w:p>
      <w:pPr>
        <w:pStyle w:val="Normal"/>
        <w:autoSpaceDE w:val="false"/>
        <w:rPr>
          <w:sz w:val="20"/>
          <w:szCs w:val="20"/>
        </w:rPr>
      </w:pPr>
      <w:r>
        <w:rPr>
          <w:sz w:val="20"/>
          <w:szCs w:val="20"/>
        </w:rPr>
        <w:t>Darrell Hobbs</w:t>
        <w:tab/>
        <w:tab/>
        <w:t>TXU</w:t>
        <w:tab/>
        <w:tab/>
        <w:tab/>
        <w:t>Darrell Klimitchek</w:t>
        <w:tab/>
        <w:t>STEC</w:t>
      </w:r>
    </w:p>
    <w:p>
      <w:pPr>
        <w:pStyle w:val="Normal"/>
        <w:autoSpaceDE w:val="false"/>
        <w:rPr>
          <w:sz w:val="20"/>
          <w:szCs w:val="20"/>
        </w:rPr>
      </w:pPr>
      <w:r>
        <w:rPr>
          <w:sz w:val="20"/>
          <w:szCs w:val="20"/>
        </w:rPr>
        <w:t>Sonia Howell</w:t>
        <w:tab/>
        <w:tab/>
        <w:t>AEP</w:t>
        <w:tab/>
        <w:tab/>
        <w:tab/>
        <w:t>Frank Garza</w:t>
        <w:tab/>
        <w:tab/>
        <w:t>CPS</w:t>
      </w:r>
    </w:p>
    <w:p>
      <w:pPr>
        <w:pStyle w:val="Normal"/>
        <w:autoSpaceDE w:val="false"/>
        <w:rPr>
          <w:sz w:val="20"/>
          <w:szCs w:val="20"/>
        </w:rPr>
      </w:pPr>
      <w:r>
        <w:rPr>
          <w:sz w:val="20"/>
          <w:szCs w:val="20"/>
        </w:rPr>
        <w:t>Pamela Sweet</w:t>
        <w:tab/>
        <w:tab/>
        <w:t xml:space="preserve">Pedernales </w:t>
        <w:tab/>
        <w:tab/>
        <w:t>Christine Meloro</w:t>
        <w:tab/>
        <w:tab/>
        <w:t>NewPower</w:t>
      </w:r>
    </w:p>
    <w:p>
      <w:pPr>
        <w:pStyle w:val="Normal"/>
        <w:autoSpaceDE w:val="false"/>
        <w:rPr>
          <w:sz w:val="20"/>
          <w:szCs w:val="20"/>
        </w:rPr>
      </w:pPr>
      <w:r>
        <w:rPr>
          <w:sz w:val="20"/>
          <w:szCs w:val="20"/>
        </w:rPr>
        <w:t>Jill Prince</w:t>
        <w:tab/>
        <w:tab/>
        <w:t>TXU</w:t>
        <w:tab/>
        <w:tab/>
        <w:tab/>
        <w:t>Kyle Patrick</w:t>
        <w:tab/>
        <w:tab/>
        <w:t>Reliant</w:t>
      </w:r>
    </w:p>
    <w:p>
      <w:pPr>
        <w:pStyle w:val="Normal"/>
        <w:autoSpaceDE w:val="false"/>
        <w:rPr>
          <w:sz w:val="20"/>
          <w:szCs w:val="20"/>
        </w:rPr>
      </w:pPr>
      <w:r>
        <w:rPr>
          <w:sz w:val="20"/>
          <w:szCs w:val="20"/>
        </w:rPr>
        <w:t>Heidi Schrab</w:t>
        <w:tab/>
        <w:tab/>
        <w:t>Green Mountain</w:t>
        <w:tab/>
      </w:r>
    </w:p>
    <w:sectPr>
      <w:type w:val="nextPage"/>
      <w:pgSz w:w="12240" w:h="15840"/>
      <w:pgMar w:left="1008" w:right="1008" w:gutter="0" w:header="0" w:top="864"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uto" w:line="228"/>
      <w:outlineLvl w:val="0"/>
    </w:pPr>
    <w:rPr>
      <w:b/>
      <w:bCs/>
      <w:sz w:val="20"/>
      <w:szCs w:val="20"/>
      <w:u w:val="single"/>
    </w:rPr>
  </w:style>
  <w:style w:type="paragraph" w:styleId="Heading2">
    <w:name w:val="heading 2"/>
    <w:basedOn w:val="Normal"/>
    <w:next w:val="Normal"/>
    <w:qFormat/>
    <w:pPr>
      <w:keepNext w:val="true"/>
      <w:numPr>
        <w:ilvl w:val="1"/>
        <w:numId w:val="1"/>
      </w:numPr>
      <w:outlineLvl w:val="1"/>
    </w:pPr>
    <w:rPr>
      <w:rFonts w:ascii="Comic Sans MS" w:hAnsi="Comic Sans MS" w:cs="Comic Sans MS"/>
      <w:color w:val="000000"/>
      <w:sz w:val="20"/>
      <w:szCs w:val="20"/>
      <w:u w:val="single"/>
    </w:rPr>
  </w:style>
  <w:style w:type="paragraph" w:styleId="Heading3">
    <w:name w:val="heading 3"/>
    <w:basedOn w:val="Normal"/>
    <w:next w:val="Normal"/>
    <w:qFormat/>
    <w:pPr>
      <w:keepNext w:val="true"/>
      <w:numPr>
        <w:ilvl w:val="2"/>
        <w:numId w:val="1"/>
      </w:numPr>
      <w:outlineLvl w:val="2"/>
    </w:pPr>
    <w:rPr>
      <w:b/>
      <w:bCs/>
      <w:sz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autoSpaceDE w:val="false"/>
      <w:outlineLvl w:val="4"/>
    </w:pPr>
    <w:rPr>
      <w:rFonts w:ascii="Courier New" w:hAnsi="Courier New" w:cs="Courier New"/>
      <w:sz w:val="20"/>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Times New Roman"/>
    </w:rPr>
  </w:style>
  <w:style w:type="character" w:styleId="WW8Num8z0">
    <w:name w:val="WW8Num8z0"/>
    <w:qFormat/>
    <w:rPr>
      <w:rFonts w:ascii="Symbol" w:hAnsi="Symbol" w:cs="Symbol"/>
    </w:rPr>
  </w:style>
  <w:style w:type="character" w:styleId="WW8Num8z4">
    <w:name w:val="WW8Num8z4"/>
    <w:qFormat/>
    <w:rPr/>
  </w:style>
  <w:style w:type="character" w:styleId="WW8Num8z5">
    <w:name w:val="WW8Num8z5"/>
    <w:qFormat/>
    <w:rPr>
      <w:rFonts w:ascii="Wingdings" w:hAnsi="Wingdings" w:cs="Wingdings"/>
    </w:rPr>
  </w:style>
  <w:style w:type="character" w:styleId="WW8Num8z7">
    <w:name w:val="WW8Num8z7"/>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Wingdings" w:hAnsi="Wingdings" w:cs="Times New Roman"/>
    </w:rPr>
  </w:style>
  <w:style w:type="character" w:styleId="WW8Num17z3">
    <w:name w:val="WW8Num17z3"/>
    <w:qFormat/>
    <w:rPr>
      <w:rFonts w:ascii="Symbol" w:hAnsi="Symbol" w:cs="Times New Roman"/>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Times New Roman"/>
    </w:rPr>
  </w:style>
  <w:style w:type="character" w:styleId="WW8Num28z1">
    <w:name w:val="WW8Num28z1"/>
    <w:qFormat/>
    <w:rPr>
      <w:rFonts w:ascii="Wingdings" w:hAnsi="Wingdings" w:cs="Times New Roman"/>
    </w:rPr>
  </w:style>
  <w:style w:type="character" w:styleId="WW8Num28z4">
    <w:name w:val="WW8Num28z4"/>
    <w:qFormat/>
    <w:rPr>
      <w:rFonts w:ascii="Courier New" w:hAnsi="Courier New" w:cs="Courier New"/>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Times New Roman"/>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5z0">
    <w:name w:val="WW8Num45z0"/>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1">
    <w:name w:val="WW8Num47z1"/>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sz w:val="20"/>
    </w:rPr>
  </w:style>
  <w:style w:type="character" w:styleId="WW8Num51z1">
    <w:name w:val="WW8Num51z1"/>
    <w:qFormat/>
    <w:rPr>
      <w:rFonts w:ascii="Courier New" w:hAnsi="Courier New" w:cs="Courier New"/>
      <w:sz w:val="20"/>
    </w:rPr>
  </w:style>
  <w:style w:type="character" w:styleId="WW8Num51z2">
    <w:name w:val="WW8Num51z2"/>
    <w:qFormat/>
    <w:rPr>
      <w:rFonts w:ascii="Wingdings" w:hAnsi="Wingdings" w:cs="Wingdings"/>
      <w:sz w:val="20"/>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character" w:styleId="EmailStyle20">
    <w:name w:val="EmailStyle20"/>
    <w:basedOn w:val="DefaultParagraphFont"/>
    <w:qFormat/>
    <w:rPr>
      <w:rFonts w:ascii="Arial" w:hAnsi="Arial" w:cs="Arial"/>
      <w:color w:val="00000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0"/>
      <w:u w:val="single"/>
    </w:rPr>
  </w:style>
  <w:style w:type="paragraph" w:styleId="BodyText">
    <w:name w:val="Body Text"/>
    <w:basedOn w:val="Normal"/>
    <w:pPr>
      <w:autoSpaceDE w:val="false"/>
    </w:pPr>
    <w:rPr>
      <w:sz w:val="20"/>
      <w:szCs w:val="20"/>
    </w:rPr>
  </w:style>
  <w:style w:type="paragraph" w:styleId="List">
    <w:name w:val="List"/>
    <w:basedOn w:val="Normal"/>
    <w:pPr>
      <w:ind w:hanging="360" w:start="360" w:end="0"/>
    </w:pPr>
    <w:rPr>
      <w:rFonts w:ascii="Arial" w:hAnsi="Arial" w:cs="Arial"/>
      <w:sz w:val="20"/>
      <w:szCs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Indent">
    <w:name w:val="Body Text Indent"/>
    <w:basedOn w:val="Normal"/>
    <w:pPr>
      <w:ind w:hanging="0" w:start="360" w:end="0"/>
    </w:pPr>
    <w:rPr/>
  </w:style>
  <w:style w:type="paragraph" w:styleId="Closing">
    <w:name w:val="Closing"/>
    <w:basedOn w:val="Normal"/>
    <w:qFormat/>
    <w:pPr>
      <w:ind w:hanging="0" w:start="4320" w:end="0"/>
    </w:pPr>
    <w:rPr>
      <w:rFonts w:ascii="Arial" w:hAnsi="Arial" w:cs="Arial"/>
      <w:sz w:val="20"/>
      <w:szCs w:val="20"/>
    </w:rPr>
  </w:style>
  <w:style w:type="paragraph" w:styleId="BodyTextIndent2">
    <w:name w:val="Body Text Indent 2"/>
    <w:basedOn w:val="Normal"/>
    <w:qFormat/>
    <w:pPr>
      <w:ind w:hanging="432" w:start="432" w:end="0"/>
    </w:pPr>
    <w:rPr>
      <w:color w:val="0000FF"/>
      <w:sz w:val="20"/>
    </w:rPr>
  </w:style>
  <w:style w:type="paragraph" w:styleId="BodyText2">
    <w:name w:val="Body Text 2"/>
    <w:basedOn w:val="Normal"/>
    <w:qFormat/>
    <w:pPr/>
    <w:rPr>
      <w:color w:val="0000FF"/>
      <w:sz w:val="20"/>
      <w:szCs w:val="20"/>
    </w:rPr>
  </w:style>
  <w:style w:type="paragraph" w:styleId="BodyTextIndent3">
    <w:name w:val="Body Text Indent 3"/>
    <w:basedOn w:val="Normal"/>
    <w:qFormat/>
    <w:pPr>
      <w:autoSpaceDE w:val="false"/>
      <w:ind w:hanging="0" w:start="720" w:end="0"/>
    </w:pPr>
    <w:rPr>
      <w:rFonts w:ascii="Courier New" w:hAnsi="Courier New" w:cs="Courier New"/>
      <w:sz w:val="20"/>
      <w:szCs w:val="20"/>
    </w:rPr>
  </w:style>
  <w:style w:type="paragraph" w:styleId="Cover2">
    <w:name w:val="Cover2"/>
    <w:qFormat/>
    <w:pPr>
      <w:widowControl/>
      <w:bidi w:val="0"/>
    </w:pPr>
    <w:rPr>
      <w:rFonts w:ascii="Verdana" w:hAnsi="Verdana" w:eastAsia="Times New Roman" w:cs="Verdana"/>
      <w:b/>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20"/>
    </w:pPr>
    <w:rPr>
      <w:rFonts w:ascii="Garamond" w:hAnsi="Garamond" w:cs="Garamond"/>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2001-10-18T13:10:00Z</dcterms:created>
  <dc:creator>Heidi.Schrab</dc:creator>
  <dc:description/>
  <dc:language>en-CA</dc:language>
  <cp:lastModifiedBy>Heidi.Schrab</cp:lastModifiedBy>
  <cp:lastPrinted>2001-06-05T23:48:00Z</cp:lastPrinted>
  <dcterms:modified xsi:type="dcterms:W3CDTF">2001-10-19T11:16:00Z</dcterms:modified>
  <cp:revision>11</cp:revision>
  <dc:subject/>
  <dc:title>SET Issues from 4/10- present:</dc:title>
</cp:coreProperties>
</file>