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5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112"/>
      </w:tblGrid>
      <w:tr>
        <w:trPr>
          <w:trHeight w:val="762" w:hRule="atLeast"/>
        </w:trPr>
        <w:tc>
          <w:tcPr>
            <w:tcW w:w="85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Labeltitle"/>
              <w:rPr/>
            </w:pPr>
            <w:r>
              <w:rPr/>
              <w:t>Electricity Facts</w:t>
            </w:r>
          </w:p>
          <w:p>
            <w:pPr>
              <w:pStyle w:val="LabelID"/>
              <w:rPr>
                <w:b/>
                <w:bCs/>
              </w:rPr>
            </w:pPr>
            <w:r>
              <w:rPr/>
              <w:t>[Name of REP], [Name of Product] [Service area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(if applicable)</w:t>
            </w:r>
            <w:r>
              <w:rPr/>
              <w:t>]</w:t>
            </w:r>
          </w:p>
          <w:p>
            <w:pPr>
              <w:pStyle w:val="LabelID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[Date]</w:t>
            </w:r>
          </w:p>
        </w:tc>
      </w:tr>
      <w:tr>
        <w:trPr>
          <w:trHeight w:val="2512" w:hRule="atLeas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>Electricity price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charge"/>
              <w:tabs>
                <w:tab w:val="clear" w:pos="3317"/>
                <w:tab w:val="clear" w:pos="4757"/>
                <w:tab w:val="clear" w:pos="6197"/>
                <w:tab w:val="center" w:pos="3452" w:leader="none"/>
                <w:tab w:val="center" w:pos="4892" w:leader="none"/>
                <w:tab w:val="center" w:pos="6332" w:leader="none"/>
              </w:tabs>
              <w:rPr/>
            </w:pPr>
            <w:r>
              <w:rPr/>
              <w:t>Average monthly use:</w:t>
              <w:tab/>
              <w:t xml:space="preserve">500kWh </w:t>
              <w:tab/>
              <w:t xml:space="preserve">1,000kWh </w:t>
              <w:tab/>
              <w:t>1,500 kWh</w:t>
            </w:r>
          </w:p>
          <w:p>
            <w:pPr>
              <w:pStyle w:val="Labelcharge"/>
              <w:tabs>
                <w:tab w:val="clear" w:pos="3317"/>
                <w:tab w:val="clear" w:pos="4757"/>
                <w:tab w:val="clear" w:pos="6197"/>
                <w:tab w:val="center" w:pos="3452" w:leader="none"/>
                <w:tab w:val="center" w:pos="4892" w:leader="none"/>
                <w:tab w:val="center" w:pos="6332" w:leader="none"/>
              </w:tabs>
              <w:rPr/>
            </w:pPr>
            <w:r>
              <w:rPr>
                <w:b/>
                <w:bCs/>
              </w:rPr>
              <w:t>Average price per kilowatt-hour:</w:t>
            </w:r>
            <w:r>
              <w:rPr/>
              <w:t xml:space="preserve"> </w:t>
              <w:tab/>
            </w:r>
            <w:r>
              <w:rPr>
                <w:b/>
                <w:bCs/>
              </w:rPr>
              <w:t>[x.x]¢</w:t>
            </w:r>
            <w:r>
              <w:rPr/>
              <w:tab/>
            </w:r>
            <w:r>
              <w:rPr>
                <w:b/>
                <w:bCs/>
              </w:rPr>
              <w:t xml:space="preserve"> [x.x]¢</w:t>
            </w:r>
            <w:r>
              <w:rPr/>
              <w:tab/>
            </w:r>
            <w:r>
              <w:rPr>
                <w:b/>
                <w:bCs/>
              </w:rPr>
              <w:t>[x.x]¢</w:t>
            </w:r>
          </w:p>
          <w:p>
            <w:pPr>
              <w:pStyle w:val="Labelcharge"/>
              <w:rPr/>
            </w:pPr>
            <w:r>
              <w:rPr/>
            </w:r>
          </w:p>
          <w:p>
            <w:pPr>
              <w:pStyle w:val="Labelcharge"/>
              <w:rPr/>
            </w:pPr>
            <w:r>
              <w:rPr/>
              <w:t xml:space="preserve">This price disclosure is an example based on [criteria used to construct the example] – your average price for electric service will vary according to [relevant variation].  See the Terms of Service document for actual prices. </w:t>
            </w:r>
          </w:p>
          <w:p>
            <w:pPr>
              <w:pStyle w:val="Labelcharge"/>
              <w:rPr/>
            </w:pPr>
            <w:r>
              <w:rPr/>
              <w:t>[If applicable] Price fixed for [xx] months.</w:t>
            </w:r>
          </w:p>
          <w:p>
            <w:pPr>
              <w:pStyle w:val="Labelcharge"/>
              <w:rPr/>
            </w:pPr>
            <w:r>
              <w:rPr/>
              <w:t>[If applicable] On-peak [season or time]:[xxx]</w:t>
            </w:r>
          </w:p>
          <w:p>
            <w:pPr>
              <w:pStyle w:val="Labelcharge"/>
              <w:rPr/>
            </w:pPr>
            <w:r>
              <w:rPr/>
              <w:t>[If applicable] Average on-peak price per kilowatt-hour:</w:t>
            </w:r>
            <w:r>
              <w:rPr>
                <w:b/>
                <w:bCs/>
              </w:rPr>
              <w:t xml:space="preserve"> </w:t>
            </w:r>
            <w:r>
              <w:rPr/>
              <w:t>[x.x]¢</w:t>
            </w:r>
          </w:p>
          <w:p>
            <w:pPr>
              <w:pStyle w:val="Labelcharge"/>
              <w:rPr>
                <w:b/>
                <w:bCs/>
              </w:rPr>
            </w:pPr>
            <w:r>
              <w:rPr/>
              <w:t>[If applicable] Average off-peak price per kilowatt-hour: [x.x]¢</w:t>
            </w:r>
          </w:p>
        </w:tc>
      </w:tr>
      <w:tr>
        <w:trPr>
          <w:trHeight w:val="865" w:hRule="atLeas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>Contract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charge"/>
              <w:spacing w:before="60" w:after="0"/>
              <w:rPr/>
            </w:pPr>
            <w:r>
              <w:rPr/>
              <w:t xml:space="preserve">Minimum term: [xx] months. </w:t>
              <w:tab/>
              <w:tab/>
              <w:t>Penalty for early cancellation: $[xx]</w:t>
            </w:r>
          </w:p>
          <w:p>
            <w:pPr>
              <w:pStyle w:val="Labelcharge"/>
              <w:spacing w:before="60" w:after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See Terms of Service statement for a full listing of fees, deposit policy, and other terms. </w:t>
            </w:r>
          </w:p>
        </w:tc>
      </w:tr>
      <w:tr>
        <w:trPr>
          <w:trHeight w:val="2415" w:hRule="exac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 xml:space="preserve"> </w:t>
            </w:r>
            <w:r>
              <w:rPr/>
              <w:t>Sources of power generation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sources"/>
              <w:tabs>
                <w:tab w:val="clear" w:pos="4662"/>
                <w:tab w:val="clear" w:pos="6282"/>
                <w:tab w:val="center" w:pos="3627" w:leader="none"/>
                <w:tab w:val="center" w:pos="5787" w:leader="none"/>
              </w:tabs>
              <w:ind w:start="567" w:end="0"/>
              <w:rPr/>
            </w:pPr>
            <w:r>
              <w:rPr/>
              <w:tab/>
            </w:r>
            <w:r>
              <w:rPr>
                <w:i/>
                <w:iCs/>
              </w:rPr>
              <w:tab/>
              <w:t>Texas</w:t>
              <w:br/>
              <w:tab/>
            </w:r>
            <w:r>
              <w:rPr>
                <w:b/>
                <w:bCs/>
                <w:i/>
                <w:iCs/>
              </w:rPr>
              <w:t>This product</w:t>
            </w:r>
            <w:r>
              <w:rPr>
                <w:i/>
                <w:iCs/>
              </w:rPr>
              <w:tab/>
              <w:t>(for comparison)</w:t>
            </w:r>
          </w:p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 xml:space="preserve">Coal and lignite </w:t>
              <w:tab/>
            </w:r>
            <w:r>
              <w:rPr>
                <w:b/>
                <w:bCs/>
              </w:rPr>
              <w:t>[xx]%</w:t>
            </w:r>
            <w:r>
              <w:rPr/>
              <w:t xml:space="preserve"> </w:t>
              <w:tab/>
              <w:t>[xx]%</w:t>
            </w:r>
          </w:p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 xml:space="preserve">Natural gas </w:t>
              <w:tab/>
            </w:r>
            <w:r>
              <w:rPr>
                <w:b/>
                <w:bCs/>
              </w:rPr>
              <w:t>[xx]%</w:t>
            </w:r>
            <w:r>
              <w:rPr/>
              <w:t xml:space="preserve"> </w:t>
              <w:tab/>
              <w:t>[xx]%</w:t>
            </w:r>
          </w:p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 xml:space="preserve">Nuclear </w:t>
              <w:tab/>
            </w:r>
            <w:r>
              <w:rPr>
                <w:b/>
                <w:bCs/>
              </w:rPr>
              <w:t>[xx]%</w:t>
            </w:r>
            <w:r>
              <w:rPr/>
              <w:t xml:space="preserve"> </w:t>
              <w:tab/>
              <w:t>[xx]%</w:t>
            </w:r>
          </w:p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>Renewable energy</w:t>
              <w:tab/>
            </w:r>
            <w:r>
              <w:rPr>
                <w:b/>
                <w:bCs/>
              </w:rPr>
              <w:t>[xx]%</w:t>
            </w:r>
            <w:r>
              <w:rPr/>
              <w:t xml:space="preserve"> </w:t>
              <w:tab/>
              <w:t>[xx]%</w:t>
            </w:r>
          </w:p>
          <w:p>
            <w:pPr>
              <w:pStyle w:val="Labelsources"/>
              <w:pBdr>
                <w:bottom w:val="single" w:sz="4" w:space="1" w:color="000000"/>
              </w:pBdr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>Other</w:t>
              <w:tab/>
            </w:r>
            <w:r>
              <w:rPr>
                <w:b/>
                <w:bCs/>
              </w:rPr>
              <w:t>[xx]%</w:t>
            </w:r>
            <w:r>
              <w:rPr/>
              <w:t xml:space="preserve"> </w:t>
              <w:tab/>
              <w:t>[xx]%</w:t>
            </w:r>
          </w:p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>
                <w:b/>
                <w:bCs/>
              </w:rPr>
              <w:t>Total</w:t>
              <w:tab/>
              <w:t>100%</w:t>
            </w:r>
            <w:r>
              <w:rPr>
                <w:b/>
                <w:bCs/>
                <w:sz w:val="24"/>
                <w:szCs w:val="24"/>
              </w:rPr>
              <w:t xml:space="preserve"> </w:t>
              <w:tab/>
            </w:r>
            <w:r>
              <w:rPr>
                <w:b/>
                <w:bCs/>
              </w:rPr>
              <w:t>100%</w:t>
            </w:r>
          </w:p>
        </w:tc>
      </w:tr>
      <w:tr>
        <w:trPr>
          <w:trHeight w:val="3513" w:hRule="exac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85725</wp:posOffset>
                      </wp:positionV>
                      <wp:extent cx="3403600" cy="1939925"/>
                      <wp:effectExtent l="14605" t="10160" r="14605" b="1460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3440" cy="1940040"/>
                                <a:chOff x="0" y="0"/>
                                <a:chExt cx="3403440" cy="194004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675080"/>
                                  <a:ext cx="1701720" cy="26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2844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i/>
                                        <w:kern w:val="2"/>
                                        <w:szCs w:val="20"/>
                                        <w:bCs/>
                                        <w:iCs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eastAsia="en-CA" w:bidi="ar-SA"/>
                                      </w:rPr>
                                      <w:t>Better than Texas average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701720" y="1675080"/>
                                  <a:ext cx="1701720" cy="26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2844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i/>
                                        <w:kern w:val="2"/>
                                        <w:szCs w:val="20"/>
                                        <w:bCs/>
                                        <w:iCs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eastAsia="en-CA" w:bidi="ar-SA"/>
                                      </w:rPr>
                                      <w:t>Worse than Texas average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Pr id="2" name=""/>
                              <wps:cNvSpPr/>
                              <wps:spPr>
                                <a:xfrm>
                                  <a:off x="0" y="0"/>
                                  <a:ext cx="1701720" cy="167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333333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"/>
                              <wps:cNvSpPr/>
                              <wps:spPr>
                                <a:xfrm>
                                  <a:off x="1701720" y="0"/>
                                  <a:ext cx="1701720" cy="167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333333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72.9pt;margin-top:6.75pt;width:267.95pt;height:152.75pt" coordorigin="3458,135" coordsize="5359,3055"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fillcolor="#dddddd" stroked="t" o:allowincell="f" style="position:absolute;left:3458;top:2773;width:2679;height:416;mso-wrap-style:square;v-text-anchor:top;mso-position-horizontal-relative:margin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i/>
                                  <w:kern w:val="2"/>
                                  <w:szCs w:val="20"/>
                                  <w:bCs/>
                                  <w:iCs/>
                                  <w:rFonts w:ascii="Times New Roman" w:hAnsi="Times New Roman" w:eastAsia="Times New Roman" w:cs="Times New Roman"/>
                                  <w:color w:val="auto"/>
                                  <w:lang w:val="en-US" w:eastAsia="en-CA" w:bidi="ar-SA"/>
                                </w:rPr>
                                <w:t>Better than Texas average</w:t>
                              </w:r>
                            </w:p>
                          </w:txbxContent>
                        </v:textbox>
                        <v:fill o:detectmouseclick="t" type="solid" color2="#222222"/>
                        <v:stroke color="white" weight="28440" joinstyle="miter" endcap="flat"/>
                        <w10:wrap type="none"/>
                      </v:shape>
                      <v:shape id="shape_0" fillcolor="#dddddd" stroked="t" o:allowincell="f" style="position:absolute;left:6138;top:2773;width:2679;height:416;mso-wrap-style:square;v-text-anchor:top;mso-position-horizontal-relative:margin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i/>
                                  <w:kern w:val="2"/>
                                  <w:szCs w:val="20"/>
                                  <w:bCs/>
                                  <w:iCs/>
                                  <w:rFonts w:ascii="Times New Roman" w:hAnsi="Times New Roman" w:eastAsia="Times New Roman" w:cs="Times New Roman"/>
                                  <w:color w:val="auto"/>
                                  <w:lang w:val="en-US" w:eastAsia="en-CA" w:bidi="ar-SA"/>
                                </w:rPr>
                                <w:t>Worse than Texas average</w:t>
                              </w:r>
                            </w:p>
                          </w:txbxContent>
                        </v:textbox>
                        <v:fill o:detectmouseclick="t" type="solid" color2="#222222"/>
                        <v:stroke color="white" weight="28440" joinstyle="miter" endcap="flat"/>
                        <w10:wrap type="none"/>
                      </v:shape>
                      <v:rect id="shape_0" stroked="t" o:allowincell="f" style="position:absolute;left:3458;top:135;width:2679;height:2638;mso-wrap-style:none;v-text-anchor:middle;mso-position-horizontal-relative:margin">
                        <v:fill o:detectmouseclick="t" on="false"/>
                        <v:stroke color="#333333" weight="19080" joinstyle="miter" endcap="flat"/>
                        <w10:wrap type="none"/>
                      </v:rect>
                      <v:rect id="shape_0" stroked="t" o:allowincell="f" style="position:absolute;left:6138;top:135;width:2679;height:2638;mso-wrap-style:none;v-text-anchor:middle;mso-position-horizontal-relative:margin">
                        <v:fill o:detectmouseclick="t" on="false"/>
                        <v:stroke color="#333333" weight="19080" joinstyle="miter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/>
              <w:t xml:space="preserve">Emissions and waste per kWh generated </w:t>
            </w:r>
          </w:p>
          <w:p>
            <w:pPr>
              <w:pStyle w:val="Labelhead"/>
              <w:jc w:val="start"/>
              <w:rPr>
                <w:b w:val="false"/>
                <w:bCs w:val="false"/>
                <w:szCs w:val="20"/>
              </w:rPr>
            </w:pPr>
            <w:r>
              <w:rPr>
                <w:b w:val="false"/>
                <w:bCs w:val="false"/>
                <w:szCs w:val="20"/>
              </w:rPr>
            </w:r>
          </w:p>
        </w:tc>
        <w:tc>
          <w:tcPr>
            <w:tcW w:w="711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object w:dxaOrig="6780" w:dyaOrig="272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338.3pt;height:136.1pt" filled="f" o:ole="">
                  <v:imagedata r:id="rId3" o:title=""/>
                </v:shape>
                <o:OLEObject Type="Embed" ProgID="" ShapeID="ole_rId2" DrawAspect="Content" ObjectID="_1461996157" r:id="rId2"/>
              </w:object>
            </w:r>
          </w:p>
          <w:p>
            <w:pPr>
              <w:pStyle w:val="Label"/>
              <w:tabs>
                <w:tab w:val="clear" w:pos="720"/>
                <w:tab w:val="center" w:pos="4257" w:leader="none"/>
              </w:tabs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tabs>
                <w:tab w:val="clear" w:pos="720"/>
                <w:tab w:val="center" w:pos="4257" w:leader="none"/>
              </w:tabs>
              <w:rPr/>
            </w:pPr>
            <w:r>
              <w:rPr/>
            </w:r>
          </w:p>
          <w:p>
            <w:pPr>
              <w:pStyle w:val="Label"/>
              <w:tabs>
                <w:tab w:val="clear" w:pos="720"/>
                <w:tab w:val="center" w:pos="4167" w:leader="none"/>
              </w:tabs>
              <w:rPr/>
            </w:pPr>
            <w:r>
              <w:rPr/>
              <w:tab/>
              <w:t>(Indexed values; 100=Texas average)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abel">
    <w:name w:val="Labe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CA" w:bidi="ar-SA"/>
    </w:rPr>
  </w:style>
  <w:style w:type="paragraph" w:styleId="Labelhead">
    <w:name w:val="Label head"/>
    <w:basedOn w:val="Label"/>
    <w:qFormat/>
    <w:pPr>
      <w:jc w:val="center"/>
    </w:pPr>
    <w:rPr>
      <w:b/>
      <w:bCs/>
      <w:i/>
      <w:iCs/>
      <w:color w:val="FFFFFF"/>
      <w:szCs w:val="24"/>
    </w:rPr>
  </w:style>
  <w:style w:type="paragraph" w:styleId="Labeltitle">
    <w:name w:val="Label title"/>
    <w:basedOn w:val="Label"/>
    <w:qFormat/>
    <w:pPr>
      <w:jc w:val="center"/>
    </w:pPr>
    <w:rPr>
      <w:b/>
      <w:bCs/>
      <w:sz w:val="28"/>
      <w:szCs w:val="28"/>
    </w:rPr>
  </w:style>
  <w:style w:type="paragraph" w:styleId="LabelID">
    <w:name w:val="Label ID"/>
    <w:basedOn w:val="Label"/>
    <w:qFormat/>
    <w:pPr>
      <w:jc w:val="center"/>
    </w:pPr>
    <w:rPr>
      <w:sz w:val="28"/>
      <w:szCs w:val="28"/>
    </w:rPr>
  </w:style>
  <w:style w:type="paragraph" w:styleId="Labelcharge">
    <w:name w:val="Label charge"/>
    <w:basedOn w:val="Label"/>
    <w:qFormat/>
    <w:pPr>
      <w:tabs>
        <w:tab w:val="clear" w:pos="720"/>
        <w:tab w:val="center" w:pos="3317" w:leader="none"/>
        <w:tab w:val="center" w:pos="4757" w:leader="none"/>
        <w:tab w:val="center" w:pos="6197" w:leader="none"/>
      </w:tabs>
    </w:pPr>
    <w:rPr/>
  </w:style>
  <w:style w:type="paragraph" w:styleId="Labelsources">
    <w:name w:val="Label sources"/>
    <w:basedOn w:val="Label"/>
    <w:qFormat/>
    <w:pPr>
      <w:tabs>
        <w:tab w:val="clear" w:pos="720"/>
        <w:tab w:val="right" w:pos="4662" w:leader="none"/>
        <w:tab w:val="right" w:pos="6282" w:leader="none"/>
      </w:tabs>
      <w:ind w:hanging="0" w:start="1062" w:end="0"/>
    </w:pPr>
    <w:rPr/>
  </w:style>
  <w:style w:type="paragraph" w:styleId="subclause">
    <w:name w:val="subclause"/>
    <w:basedOn w:val="Normal"/>
    <w:qFormat/>
    <w:pPr>
      <w:autoSpaceDE w:val="false"/>
      <w:spacing w:lineRule="auto" w:line="480"/>
      <w:ind w:hanging="720" w:start="360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2001-08-13T19:50:00Z</dcterms:created>
  <dc:creator>sbolton</dc:creator>
  <dc:description/>
  <dc:language>en-CA</dc:language>
  <cp:lastModifiedBy>sbolton</cp:lastModifiedBy>
  <dcterms:modified xsi:type="dcterms:W3CDTF">2001-08-13T19:54:00Z</dcterms:modified>
  <cp:revision>1</cp:revision>
  <dc:subject/>
  <dc:title>Electricity Facts</dc:title>
</cp:coreProperties>
</file>