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szCs w:val="23"/>
        </w:rPr>
      </w:pPr>
      <w:r>
        <w:rPr>
          <w:sz w:val="23"/>
          <w:szCs w:val="23"/>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sz w:val="23"/>
          <w:szCs w:val="23"/>
        </w:rPr>
      </w:pPr>
      <w:r>
        <w:rPr>
          <w:sz w:val="23"/>
          <w:szCs w:val="23"/>
        </w:rPr>
      </w:r>
    </w:p>
    <w:p>
      <w:pPr>
        <w:pStyle w:val="Heading"/>
        <w:rPr>
          <w:b w:val="false"/>
          <w:bCs/>
          <w:sz w:val="19"/>
          <w:szCs w:val="19"/>
        </w:rPr>
      </w:pPr>
      <w:r>
        <w:rPr>
          <w:b w:val="false"/>
          <w:bCs/>
          <w:sz w:val="19"/>
          <w:szCs w:val="19"/>
        </w:rPr>
        <w:t>TXU Gas Distribution</w:t>
      </w:r>
    </w:p>
    <w:p>
      <w:pPr>
        <w:pStyle w:val="Heading"/>
        <w:rPr>
          <w:b w:val="false"/>
          <w:bCs/>
          <w:sz w:val="19"/>
          <w:szCs w:val="19"/>
        </w:rPr>
      </w:pPr>
      <w:r>
        <w:rPr>
          <w:b w:val="false"/>
          <w:bCs/>
          <w:sz w:val="19"/>
          <w:szCs w:val="19"/>
        </w:rPr>
        <w:t>Dick Boerner</w:t>
      </w:r>
    </w:p>
    <w:p>
      <w:pPr>
        <w:pStyle w:val="Heading"/>
        <w:rPr>
          <w:b w:val="false"/>
          <w:bCs/>
          <w:sz w:val="19"/>
          <w:szCs w:val="19"/>
        </w:rPr>
      </w:pPr>
      <w:r>
        <w:rPr>
          <w:b w:val="false"/>
          <w:bCs/>
          <w:sz w:val="19"/>
          <w:szCs w:val="19"/>
        </w:rPr>
        <w:t>1601 Bryan Street</w:t>
      </w:r>
    </w:p>
    <w:p>
      <w:pPr>
        <w:pStyle w:val="Heading"/>
        <w:rPr>
          <w:b w:val="false"/>
          <w:bCs/>
          <w:sz w:val="19"/>
          <w:szCs w:val="19"/>
        </w:rPr>
      </w:pPr>
      <w:r>
        <w:rPr>
          <w:b w:val="false"/>
          <w:bCs/>
          <w:sz w:val="19"/>
          <w:szCs w:val="19"/>
        </w:rPr>
        <w:t>Dallas, TX  75201</w:t>
      </w:r>
    </w:p>
    <w:p>
      <w:pPr>
        <w:pStyle w:val="Heading"/>
        <w:rPr>
          <w:b w:val="false"/>
          <w:bCs/>
          <w:sz w:val="19"/>
          <w:szCs w:val="19"/>
        </w:rPr>
      </w:pPr>
      <w:r>
        <w:rPr>
          <w:b w:val="false"/>
          <w:bCs/>
          <w:sz w:val="19"/>
          <w:szCs w:val="19"/>
        </w:rPr>
      </w:r>
    </w:p>
    <w:p>
      <w:pPr>
        <w:pStyle w:val="Heading"/>
        <w:rPr>
          <w:b w:val="false"/>
          <w:bCs/>
          <w:sz w:val="19"/>
          <w:szCs w:val="19"/>
        </w:rPr>
      </w:pPr>
      <w:r>
        <w:rPr>
          <w:b w:val="false"/>
          <w:bCs/>
          <w:sz w:val="19"/>
          <w:szCs w:val="19"/>
        </w:rPr>
      </w:r>
    </w:p>
    <w:p>
      <w:pPr>
        <w:pStyle w:val="Heading"/>
        <w:rPr>
          <w:b w:val="false"/>
          <w:bCs/>
          <w:sz w:val="19"/>
          <w:szCs w:val="19"/>
        </w:rPr>
      </w:pPr>
      <w:r>
        <w:rPr>
          <w:b w:val="false"/>
          <w:bCs/>
          <w:sz w:val="19"/>
          <w:szCs w:val="19"/>
        </w:rPr>
      </w:r>
    </w:p>
    <w:p>
      <w:pPr>
        <w:pStyle w:val="Heading"/>
        <w:rPr>
          <w:sz w:val="19"/>
          <w:szCs w:val="19"/>
        </w:rPr>
      </w:pPr>
      <w:r>
        <w:rPr>
          <w:sz w:val="19"/>
          <w:szCs w:val="19"/>
        </w:rPr>
        <w:t>Request for Gas Supply dated June 25, 2001.</w:t>
      </w:r>
    </w:p>
    <w:p>
      <w:pPr>
        <w:pStyle w:val="Heading"/>
        <w:rPr>
          <w:b w:val="false"/>
          <w:bCs/>
          <w:sz w:val="19"/>
          <w:szCs w:val="19"/>
        </w:rPr>
      </w:pPr>
      <w:r>
        <w:rPr>
          <w:b w:val="false"/>
          <w:bCs/>
          <w:sz w:val="19"/>
          <w:szCs w:val="19"/>
        </w:rPr>
      </w:r>
    </w:p>
    <w:p>
      <w:pPr>
        <w:pStyle w:val="Heading"/>
        <w:rPr>
          <w:b w:val="false"/>
          <w:bCs/>
          <w:sz w:val="19"/>
          <w:szCs w:val="19"/>
        </w:rPr>
      </w:pPr>
      <w:r>
        <w:rPr>
          <w:b w:val="false"/>
          <w:bCs/>
          <w:sz w:val="19"/>
          <w:szCs w:val="19"/>
        </w:rPr>
      </w:r>
    </w:p>
    <w:p>
      <w:pPr>
        <w:pStyle w:val="Heading"/>
        <w:rPr>
          <w:sz w:val="19"/>
          <w:szCs w:val="19"/>
        </w:rPr>
      </w:pPr>
      <w:r>
        <w:rPr>
          <w:sz w:val="19"/>
          <w:szCs w:val="19"/>
        </w:rPr>
        <w:t>Attachment A  (December 01, 2001 - February 28, 2002)</w:t>
      </w:r>
    </w:p>
    <w:p>
      <w:pPr>
        <w:pStyle w:val="Heading"/>
        <w:rPr>
          <w:b w:val="false"/>
          <w:bCs/>
          <w:sz w:val="19"/>
          <w:szCs w:val="19"/>
        </w:rPr>
      </w:pPr>
      <w:r>
        <w:rPr>
          <w:b w:val="false"/>
          <w:bCs/>
          <w:sz w:val="19"/>
          <w:szCs w:val="19"/>
        </w:rPr>
      </w:r>
    </w:p>
    <w:p>
      <w:pPr>
        <w:pStyle w:val="Heading"/>
        <w:tabs>
          <w:tab w:val="left" w:pos="1620" w:leader="none"/>
        </w:tabs>
        <w:rPr>
          <w:b w:val="false"/>
          <w:bCs/>
          <w:sz w:val="19"/>
          <w:szCs w:val="19"/>
        </w:rPr>
      </w:pPr>
      <w:r>
        <w:rPr>
          <w:b w:val="false"/>
          <w:bCs/>
          <w:sz w:val="19"/>
          <w:szCs w:val="19"/>
        </w:rPr>
        <w:t>Location:</w:t>
        <w:tab/>
        <w:t>Carthage Plant (17-1925-00)</w:t>
      </w:r>
    </w:p>
    <w:p>
      <w:pPr>
        <w:pStyle w:val="Heading"/>
        <w:tabs>
          <w:tab w:val="left" w:pos="1620" w:leader="none"/>
        </w:tabs>
        <w:rPr>
          <w:b w:val="false"/>
          <w:bCs/>
          <w:sz w:val="19"/>
          <w:szCs w:val="19"/>
        </w:rPr>
      </w:pPr>
      <w:r>
        <w:rPr>
          <w:b w:val="false"/>
          <w:bCs/>
          <w:sz w:val="19"/>
          <w:szCs w:val="19"/>
        </w:rPr>
        <w:t>Volume:</w:t>
        <w:tab/>
        <w:t>10,000 MMBtu/Day</w:t>
      </w:r>
    </w:p>
    <w:p>
      <w:pPr>
        <w:pStyle w:val="Heading"/>
        <w:tabs>
          <w:tab w:val="left" w:pos="1620" w:leader="none"/>
        </w:tabs>
        <w:rPr/>
      </w:pPr>
      <w:r>
        <w:rPr>
          <w:b w:val="false"/>
          <w:bCs/>
          <w:sz w:val="19"/>
          <w:szCs w:val="19"/>
        </w:rPr>
        <w:t>Price:</w:t>
        <w:tab/>
        <w:t xml:space="preserve">First of the month </w:t>
      </w:r>
      <w:r>
        <w:rPr>
          <w:b w:val="false"/>
          <w:bCs/>
          <w:i/>
          <w:iCs/>
          <w:sz w:val="19"/>
          <w:szCs w:val="19"/>
        </w:rPr>
        <w:t>Inside FERC Gas Market Report</w:t>
      </w:r>
      <w:r>
        <w:rPr>
          <w:b w:val="false"/>
          <w:bCs/>
          <w:sz w:val="19"/>
          <w:szCs w:val="19"/>
        </w:rPr>
        <w:t>, Houston Ship Channel (Large Pkg) minus $.0525</w:t>
      </w:r>
    </w:p>
    <w:p>
      <w:pPr>
        <w:pStyle w:val="Heading"/>
        <w:tabs>
          <w:tab w:val="left" w:pos="1620" w:leader="none"/>
        </w:tabs>
        <w:rPr>
          <w:b w:val="false"/>
          <w:bCs/>
          <w:sz w:val="19"/>
          <w:szCs w:val="19"/>
        </w:rPr>
      </w:pPr>
      <w:r>
        <w:rPr>
          <w:b w:val="false"/>
          <w:bCs/>
          <w:sz w:val="19"/>
          <w:szCs w:val="19"/>
        </w:rPr>
      </w:r>
    </w:p>
    <w:p>
      <w:pPr>
        <w:pStyle w:val="Heading"/>
        <w:tabs>
          <w:tab w:val="left" w:pos="1620" w:leader="none"/>
        </w:tabs>
        <w:rPr>
          <w:b w:val="false"/>
          <w:bCs/>
          <w:sz w:val="19"/>
          <w:szCs w:val="19"/>
        </w:rPr>
      </w:pPr>
      <w:r>
        <w:rPr>
          <w:b w:val="false"/>
          <w:bCs/>
          <w:sz w:val="19"/>
          <w:szCs w:val="19"/>
        </w:rPr>
      </w:r>
    </w:p>
    <w:p>
      <w:pPr>
        <w:pStyle w:val="Heading"/>
        <w:tabs>
          <w:tab w:val="left" w:pos="1620" w:leader="none"/>
        </w:tabs>
        <w:rPr>
          <w:sz w:val="19"/>
          <w:szCs w:val="19"/>
        </w:rPr>
      </w:pPr>
      <w:r>
        <w:rPr>
          <w:sz w:val="19"/>
          <w:szCs w:val="19"/>
        </w:rPr>
        <w:t xml:space="preserve">Attachment B  </w:t>
      </w:r>
    </w:p>
    <w:p>
      <w:pPr>
        <w:pStyle w:val="Heading"/>
        <w:tabs>
          <w:tab w:val="left" w:pos="1620" w:leader="none"/>
        </w:tabs>
        <w:rPr>
          <w:sz w:val="19"/>
          <w:szCs w:val="19"/>
        </w:rPr>
      </w:pPr>
      <w:r>
        <w:rPr>
          <w:sz w:val="19"/>
          <w:szCs w:val="19"/>
        </w:rPr>
      </w:r>
    </w:p>
    <w:p>
      <w:pPr>
        <w:pStyle w:val="Heading"/>
        <w:tabs>
          <w:tab w:val="left" w:pos="1620" w:leader="none"/>
        </w:tabs>
        <w:rPr>
          <w:b w:val="false"/>
          <w:bCs/>
          <w:sz w:val="19"/>
          <w:szCs w:val="19"/>
        </w:rPr>
      </w:pPr>
      <w:r>
        <w:rPr>
          <w:b w:val="false"/>
          <w:bCs/>
          <w:sz w:val="19"/>
          <w:szCs w:val="19"/>
        </w:rPr>
        <w:t>Location:</w:t>
        <w:tab/>
        <w:t>Exxon Katy Plant</w:t>
      </w:r>
    </w:p>
    <w:p>
      <w:pPr>
        <w:pStyle w:val="Heading"/>
        <w:tabs>
          <w:tab w:val="left" w:pos="1620" w:leader="none"/>
        </w:tabs>
        <w:rPr>
          <w:b w:val="false"/>
          <w:bCs/>
          <w:sz w:val="19"/>
          <w:szCs w:val="19"/>
        </w:rPr>
      </w:pPr>
      <w:r>
        <w:rPr>
          <w:b w:val="false"/>
          <w:bCs/>
          <w:sz w:val="19"/>
          <w:szCs w:val="19"/>
        </w:rPr>
        <w:t>Volume:</w:t>
        <w:tab/>
        <w:t>10,000 MMBtu/Day</w:t>
      </w:r>
    </w:p>
    <w:p>
      <w:pPr>
        <w:pStyle w:val="Heading"/>
        <w:tabs>
          <w:tab w:val="left" w:pos="1620" w:leader="none"/>
        </w:tabs>
        <w:rPr>
          <w:b w:val="false"/>
          <w:bCs/>
          <w:sz w:val="19"/>
          <w:szCs w:val="19"/>
        </w:rPr>
      </w:pPr>
      <w:r>
        <w:rPr>
          <w:b w:val="false"/>
          <w:bCs/>
          <w:sz w:val="19"/>
          <w:szCs w:val="19"/>
        </w:rPr>
        <w:t>Term:</w:t>
        <w:tab/>
        <w:t>December 1, 2001 – February 28, 2002</w:t>
      </w:r>
    </w:p>
    <w:p>
      <w:pPr>
        <w:pStyle w:val="Heading"/>
        <w:tabs>
          <w:tab w:val="left" w:pos="1620" w:leader="none"/>
        </w:tabs>
        <w:rPr/>
      </w:pPr>
      <w:r>
        <w:rPr>
          <w:b w:val="false"/>
          <w:bCs/>
          <w:sz w:val="19"/>
          <w:szCs w:val="19"/>
        </w:rPr>
        <w:t>Price:</w:t>
        <w:tab/>
        <w:t xml:space="preserve">First of the month </w:t>
      </w:r>
      <w:r>
        <w:rPr>
          <w:b w:val="false"/>
          <w:bCs/>
          <w:i/>
          <w:iCs/>
          <w:sz w:val="19"/>
          <w:szCs w:val="19"/>
        </w:rPr>
        <w:t>Inside FERC Gas Market Report</w:t>
      </w:r>
      <w:r>
        <w:rPr>
          <w:b w:val="false"/>
          <w:bCs/>
          <w:sz w:val="19"/>
          <w:szCs w:val="19"/>
        </w:rPr>
        <w:t>, Houston Ship Channel (Large Pkg) minus $.0325</w:t>
      </w:r>
    </w:p>
    <w:p>
      <w:pPr>
        <w:pStyle w:val="Heading"/>
        <w:tabs>
          <w:tab w:val="left" w:pos="1620" w:leader="none"/>
        </w:tabs>
        <w:rPr>
          <w:b w:val="false"/>
          <w:bCs/>
          <w:sz w:val="19"/>
          <w:szCs w:val="19"/>
        </w:rPr>
      </w:pPr>
      <w:r>
        <w:rPr>
          <w:b w:val="false"/>
          <w:bCs/>
          <w:sz w:val="19"/>
          <w:szCs w:val="19"/>
        </w:rPr>
      </w:r>
    </w:p>
    <w:p>
      <w:pPr>
        <w:pStyle w:val="Heading"/>
        <w:tabs>
          <w:tab w:val="left" w:pos="1620" w:leader="none"/>
        </w:tabs>
        <w:rPr>
          <w:b w:val="false"/>
          <w:bCs/>
          <w:sz w:val="19"/>
          <w:szCs w:val="19"/>
        </w:rPr>
      </w:pPr>
      <w:r>
        <w:rPr>
          <w:b w:val="false"/>
          <w:bCs/>
          <w:sz w:val="19"/>
          <w:szCs w:val="19"/>
        </w:rPr>
        <w:t>Location:</w:t>
        <w:tab/>
        <w:t>Exxon Katy Plant</w:t>
      </w:r>
    </w:p>
    <w:p>
      <w:pPr>
        <w:pStyle w:val="Heading"/>
        <w:tabs>
          <w:tab w:val="left" w:pos="1620" w:leader="none"/>
        </w:tabs>
        <w:rPr>
          <w:b w:val="false"/>
          <w:bCs/>
          <w:sz w:val="19"/>
          <w:szCs w:val="19"/>
        </w:rPr>
      </w:pPr>
      <w:r>
        <w:rPr>
          <w:b w:val="false"/>
          <w:bCs/>
          <w:sz w:val="19"/>
          <w:szCs w:val="19"/>
        </w:rPr>
        <w:t>Volume:</w:t>
        <w:tab/>
        <w:t>10,000 MMBtu/Day</w:t>
      </w:r>
    </w:p>
    <w:p>
      <w:pPr>
        <w:pStyle w:val="Heading"/>
        <w:tabs>
          <w:tab w:val="left" w:pos="1620" w:leader="none"/>
        </w:tabs>
        <w:rPr>
          <w:b w:val="false"/>
          <w:bCs/>
          <w:sz w:val="19"/>
          <w:szCs w:val="19"/>
        </w:rPr>
      </w:pPr>
      <w:r>
        <w:rPr>
          <w:b w:val="false"/>
          <w:bCs/>
          <w:sz w:val="19"/>
          <w:szCs w:val="19"/>
        </w:rPr>
        <w:t>Term:</w:t>
        <w:tab/>
        <w:t>November 1, 2001 – March 31, 2002</w:t>
      </w:r>
    </w:p>
    <w:p>
      <w:pPr>
        <w:pStyle w:val="Heading"/>
        <w:tabs>
          <w:tab w:val="left" w:pos="1620" w:leader="none"/>
        </w:tabs>
        <w:rPr/>
      </w:pPr>
      <w:r>
        <w:rPr>
          <w:b w:val="false"/>
          <w:bCs/>
          <w:sz w:val="19"/>
          <w:szCs w:val="19"/>
        </w:rPr>
        <w:t>Price:</w:t>
        <w:tab/>
        <w:t xml:space="preserve">First of the month </w:t>
      </w:r>
      <w:r>
        <w:rPr>
          <w:b w:val="false"/>
          <w:bCs/>
          <w:i/>
          <w:iCs/>
          <w:sz w:val="19"/>
          <w:szCs w:val="19"/>
        </w:rPr>
        <w:t>Inside FERC Gas Market Report</w:t>
      </w:r>
      <w:r>
        <w:rPr>
          <w:b w:val="false"/>
          <w:bCs/>
          <w:sz w:val="19"/>
          <w:szCs w:val="19"/>
        </w:rPr>
        <w:t>, Houston Ship Channel (Large Pkg) minus $.0375</w:t>
      </w:r>
    </w:p>
    <w:p>
      <w:pPr>
        <w:pStyle w:val="Heading"/>
        <w:tabs>
          <w:tab w:val="left" w:pos="1620" w:leader="none"/>
        </w:tabs>
        <w:rPr>
          <w:b w:val="false"/>
          <w:bCs/>
          <w:sz w:val="19"/>
          <w:szCs w:val="19"/>
        </w:rPr>
      </w:pPr>
      <w:r>
        <w:rPr>
          <w:b w:val="false"/>
          <w:bCs/>
          <w:sz w:val="19"/>
          <w:szCs w:val="19"/>
        </w:rPr>
      </w:r>
    </w:p>
    <w:p>
      <w:pPr>
        <w:pStyle w:val="Heading"/>
        <w:tabs>
          <w:tab w:val="left" w:pos="1620" w:leader="none"/>
        </w:tabs>
        <w:rPr>
          <w:b w:val="false"/>
          <w:bCs/>
          <w:sz w:val="19"/>
          <w:szCs w:val="19"/>
        </w:rPr>
      </w:pPr>
      <w:r>
        <w:rPr>
          <w:b w:val="false"/>
          <w:bCs/>
          <w:sz w:val="19"/>
          <w:szCs w:val="19"/>
        </w:rPr>
        <w:t>Location:</w:t>
        <w:tab/>
        <w:t>Waha Area</w:t>
      </w:r>
    </w:p>
    <w:p>
      <w:pPr>
        <w:pStyle w:val="Heading"/>
        <w:tabs>
          <w:tab w:val="left" w:pos="1620" w:leader="none"/>
        </w:tabs>
        <w:rPr>
          <w:b w:val="false"/>
          <w:bCs/>
          <w:sz w:val="19"/>
          <w:szCs w:val="19"/>
        </w:rPr>
      </w:pPr>
      <w:r>
        <w:rPr>
          <w:b w:val="false"/>
          <w:bCs/>
          <w:sz w:val="19"/>
          <w:szCs w:val="19"/>
        </w:rPr>
        <w:t>Volume:</w:t>
        <w:tab/>
        <w:t>10,000 MMBtu/Day</w:t>
      </w:r>
    </w:p>
    <w:p>
      <w:pPr>
        <w:pStyle w:val="Heading"/>
        <w:tabs>
          <w:tab w:val="left" w:pos="1620" w:leader="none"/>
        </w:tabs>
        <w:rPr>
          <w:b w:val="false"/>
          <w:bCs/>
          <w:sz w:val="19"/>
          <w:szCs w:val="19"/>
        </w:rPr>
      </w:pPr>
      <w:r>
        <w:rPr>
          <w:b w:val="false"/>
          <w:bCs/>
          <w:sz w:val="19"/>
          <w:szCs w:val="19"/>
        </w:rPr>
        <w:t>Term:</w:t>
        <w:tab/>
        <w:t>December 1, 2001 – February 28, 2002</w:t>
      </w:r>
    </w:p>
    <w:p>
      <w:pPr>
        <w:pStyle w:val="Heading"/>
        <w:tabs>
          <w:tab w:val="left" w:pos="1620" w:leader="none"/>
        </w:tabs>
        <w:rPr/>
      </w:pPr>
      <w:r>
        <w:rPr>
          <w:b w:val="false"/>
          <w:bCs/>
          <w:sz w:val="19"/>
          <w:szCs w:val="19"/>
        </w:rPr>
        <w:t>Price:</w:t>
        <w:tab/>
        <w:t xml:space="preserve">First of the month </w:t>
      </w:r>
      <w:r>
        <w:rPr>
          <w:b w:val="false"/>
          <w:bCs/>
          <w:i/>
          <w:iCs/>
          <w:sz w:val="19"/>
          <w:szCs w:val="19"/>
        </w:rPr>
        <w:t>Inside FERC Gas Market Report</w:t>
      </w:r>
      <w:r>
        <w:rPr>
          <w:b w:val="false"/>
          <w:bCs/>
          <w:sz w:val="19"/>
          <w:szCs w:val="19"/>
        </w:rPr>
        <w:t>, Houston Ship Channel (Large Pkg) minus $.04</w:t>
      </w:r>
    </w:p>
    <w:p>
      <w:pPr>
        <w:pStyle w:val="Heading"/>
        <w:tabs>
          <w:tab w:val="left" w:pos="1620" w:leader="none"/>
          <w:tab w:val="left" w:pos="1710" w:leader="none"/>
        </w:tabs>
        <w:ind w:hanging="1620" w:start="1620" w:end="0"/>
        <w:rPr>
          <w:b w:val="false"/>
          <w:bCs/>
          <w:sz w:val="19"/>
          <w:szCs w:val="19"/>
        </w:rPr>
      </w:pPr>
      <w:r>
        <w:rPr>
          <w:b w:val="false"/>
          <w:bCs/>
          <w:sz w:val="19"/>
          <w:szCs w:val="19"/>
        </w:rPr>
        <w:t>Delivery Points:</w:t>
        <w:tab/>
        <w:t>Supplier will notify TXU of supply location(s) by 12:00 noon on the third business day preceding the month of flow.  Primary points will be :  Conoco Sterling, Conoco Conger, Richardson Coyanosa, Richardson Waha, Lone Star Waha Header, Richardson Mi Vida, Oasis Waha, Duke Coyanosa, Duke Pegasus, Duke Waha, GPM Spraberry, NNG Spraberry, pooling delivery points into TXU Lone Star Pipeline.  Additional Waha area points may be added if mutually agreeable.</w:t>
      </w:r>
    </w:p>
    <w:p>
      <w:pPr>
        <w:pStyle w:val="Heading"/>
        <w:tabs>
          <w:tab w:val="left" w:pos="1620" w:leader="none"/>
        </w:tabs>
        <w:rPr>
          <w:b w:val="false"/>
          <w:bCs/>
          <w:sz w:val="19"/>
          <w:szCs w:val="19"/>
        </w:rPr>
      </w:pPr>
      <w:r>
        <w:rPr>
          <w:b w:val="false"/>
          <w:bCs/>
          <w:sz w:val="19"/>
          <w:szCs w:val="19"/>
        </w:rPr>
      </w:r>
    </w:p>
    <w:p>
      <w:pPr>
        <w:pStyle w:val="Heading"/>
        <w:tabs>
          <w:tab w:val="left" w:pos="1620" w:leader="none"/>
        </w:tabs>
        <w:rPr>
          <w:b w:val="false"/>
          <w:bCs/>
          <w:sz w:val="19"/>
          <w:szCs w:val="19"/>
        </w:rPr>
      </w:pPr>
      <w:r>
        <w:rPr>
          <w:b w:val="false"/>
          <w:bCs/>
          <w:sz w:val="19"/>
          <w:szCs w:val="19"/>
        </w:rPr>
        <w:t>Location:</w:t>
        <w:tab/>
        <w:t>Waha Area</w:t>
      </w:r>
    </w:p>
    <w:p>
      <w:pPr>
        <w:pStyle w:val="Heading"/>
        <w:tabs>
          <w:tab w:val="left" w:pos="1620" w:leader="none"/>
        </w:tabs>
        <w:rPr>
          <w:b w:val="false"/>
          <w:bCs/>
          <w:sz w:val="19"/>
          <w:szCs w:val="19"/>
        </w:rPr>
      </w:pPr>
      <w:r>
        <w:rPr>
          <w:b w:val="false"/>
          <w:bCs/>
          <w:sz w:val="19"/>
          <w:szCs w:val="19"/>
        </w:rPr>
        <w:t>Volume:</w:t>
        <w:tab/>
        <w:t>10,000 MMBtu/Day</w:t>
      </w:r>
    </w:p>
    <w:p>
      <w:pPr>
        <w:pStyle w:val="Heading"/>
        <w:tabs>
          <w:tab w:val="left" w:pos="1620" w:leader="none"/>
        </w:tabs>
        <w:rPr>
          <w:b w:val="false"/>
          <w:bCs/>
          <w:sz w:val="19"/>
          <w:szCs w:val="19"/>
        </w:rPr>
      </w:pPr>
      <w:r>
        <w:rPr>
          <w:b w:val="false"/>
          <w:bCs/>
          <w:sz w:val="19"/>
          <w:szCs w:val="19"/>
        </w:rPr>
        <w:t>Term:</w:t>
        <w:tab/>
        <w:t>November 1, 2001 – March 31, 2002</w:t>
      </w:r>
    </w:p>
    <w:p>
      <w:pPr>
        <w:pStyle w:val="Heading"/>
        <w:tabs>
          <w:tab w:val="left" w:pos="1620" w:leader="none"/>
        </w:tabs>
        <w:rPr/>
      </w:pPr>
      <w:r>
        <w:rPr>
          <w:b w:val="false"/>
          <w:bCs/>
          <w:sz w:val="19"/>
          <w:szCs w:val="19"/>
        </w:rPr>
        <w:t>Price:</w:t>
        <w:tab/>
        <w:t xml:space="preserve">First of the month </w:t>
      </w:r>
      <w:r>
        <w:rPr>
          <w:b w:val="false"/>
          <w:bCs/>
          <w:i/>
          <w:iCs/>
          <w:sz w:val="19"/>
          <w:szCs w:val="19"/>
        </w:rPr>
        <w:t>Inside FERC Gas Market Report</w:t>
      </w:r>
      <w:r>
        <w:rPr>
          <w:b w:val="false"/>
          <w:bCs/>
          <w:sz w:val="19"/>
          <w:szCs w:val="19"/>
        </w:rPr>
        <w:t>, Houston Ship Channel (Large Pkg) minus $.0475</w:t>
      </w:r>
    </w:p>
    <w:p>
      <w:pPr>
        <w:pStyle w:val="Heading"/>
        <w:tabs>
          <w:tab w:val="left" w:pos="1620" w:leader="none"/>
          <w:tab w:val="left" w:pos="1710" w:leader="none"/>
        </w:tabs>
        <w:ind w:hanging="1620" w:start="1620" w:end="0"/>
        <w:rPr>
          <w:b w:val="false"/>
          <w:bCs/>
          <w:sz w:val="19"/>
          <w:szCs w:val="19"/>
        </w:rPr>
      </w:pPr>
      <w:r>
        <w:rPr>
          <w:b w:val="false"/>
          <w:bCs/>
          <w:sz w:val="19"/>
          <w:szCs w:val="19"/>
        </w:rPr>
        <w:t>Delivery Points:</w:t>
        <w:tab/>
        <w:t>Supplier will notify TXU of supply location(s) by 12:00 noon on the third business day preceding the month of flow.  Primary points will be :  Conoco Sterling, Conoco Conger, Richardson Coyanosa, Richardson Waha, Lone Star Waha Header, Richardson Mi Vida, Oasis Waha, Duke Coyanosa, Duke Pegasus, Duke Waha, GPM Spraberry, NNG Spraberry, pooling delivery points into TXU Lone Star Pipeline.  Additional Waha area points may be added if mutually agreeable.</w:t>
      </w:r>
    </w:p>
    <w:p>
      <w:pPr>
        <w:pStyle w:val="Heading"/>
        <w:tabs>
          <w:tab w:val="left" w:pos="1620" w:leader="none"/>
        </w:tabs>
        <w:rPr>
          <w:b w:val="false"/>
          <w:bCs/>
          <w:sz w:val="19"/>
          <w:szCs w:val="19"/>
        </w:rPr>
      </w:pPr>
      <w:r>
        <w:rPr>
          <w:b w:val="false"/>
          <w:bCs/>
          <w:sz w:val="19"/>
          <w:szCs w:val="19"/>
        </w:rPr>
      </w:r>
    </w:p>
    <w:p>
      <w:pPr>
        <w:pStyle w:val="Heading"/>
        <w:tabs>
          <w:tab w:val="left" w:pos="990" w:leader="none"/>
        </w:tabs>
        <w:rPr>
          <w:b w:val="false"/>
          <w:bCs/>
          <w:sz w:val="19"/>
          <w:szCs w:val="19"/>
        </w:rPr>
      </w:pPr>
      <w:r>
        <w:rPr>
          <w:b w:val="false"/>
          <w:bCs/>
          <w:sz w:val="19"/>
          <w:szCs w:val="19"/>
        </w:rPr>
      </w:r>
    </w:p>
    <w:p>
      <w:pPr>
        <w:pStyle w:val="Heading"/>
        <w:tabs>
          <w:tab w:val="left" w:pos="990" w:leader="none"/>
        </w:tabs>
        <w:rPr>
          <w:b w:val="false"/>
          <w:bCs/>
          <w:sz w:val="19"/>
          <w:szCs w:val="19"/>
        </w:rPr>
      </w:pPr>
      <w:r>
        <w:rPr>
          <w:b w:val="false"/>
          <w:bCs/>
          <w:sz w:val="19"/>
          <w:szCs w:val="19"/>
        </w:rPr>
      </w:r>
    </w:p>
    <w:p>
      <w:pPr>
        <w:pStyle w:val="Heading"/>
        <w:tabs>
          <w:tab w:val="left" w:pos="990" w:leader="none"/>
        </w:tabs>
        <w:rPr>
          <w:b w:val="false"/>
          <w:bCs/>
          <w:i/>
          <w:i/>
          <w:iCs/>
          <w:sz w:val="19"/>
          <w:szCs w:val="19"/>
        </w:rPr>
      </w:pPr>
      <w:r>
        <w:rPr>
          <w:b w:val="false"/>
          <w:bCs/>
          <w:i/>
          <w:iCs/>
          <w:sz w:val="19"/>
          <w:szCs w:val="19"/>
        </w:rPr>
        <w:t>This is for discussion purposes only and is not intended to be complete and all-inclusive of the terms of the related transaction.  This is not an offer or a commitment of Enron North America or any parent of affiliate of Enron North America.  The transaction described herein is subject to further review and approval of Enron North America and execution of definitive agreements containing all appropriate provisions, including those related to credit and limitaion of damages.</w:t>
      </w:r>
    </w:p>
    <w:p>
      <w:pPr>
        <w:pStyle w:val="Heading"/>
        <w:tabs>
          <w:tab w:val="left" w:pos="990" w:leader="none"/>
        </w:tabs>
        <w:rPr>
          <w:b w:val="false"/>
          <w:bCs/>
          <w:i/>
          <w:i/>
          <w:iCs/>
          <w:sz w:val="19"/>
          <w:szCs w:val="19"/>
        </w:rPr>
      </w:pPr>
      <w:r>
        <w:rPr>
          <w:b w:val="false"/>
          <w:bCs/>
          <w:i/>
          <w:iCs/>
          <w:sz w:val="19"/>
          <w:szCs w:val="19"/>
        </w:rPr>
      </w:r>
    </w:p>
    <w:p>
      <w:pPr>
        <w:pStyle w:val="Heading"/>
        <w:tabs>
          <w:tab w:val="left" w:pos="990" w:leader="none"/>
        </w:tabs>
        <w:rPr>
          <w:b w:val="false"/>
          <w:bCs/>
          <w:sz w:val="19"/>
          <w:szCs w:val="19"/>
        </w:rPr>
      </w:pPr>
      <w:r>
        <w:rPr>
          <w:b w:val="false"/>
          <w:bCs/>
          <w:sz w:val="19"/>
          <w:szCs w:val="19"/>
        </w:rPr>
        <w:t>Daren Farmer  (713) 853-6905</w:t>
      </w:r>
    </w:p>
    <w:sectPr>
      <w:headerReference w:type="default" r:id="rId3"/>
      <w:headerReference w:type="first" r:id="rId4"/>
      <w:type w:val="nextPage"/>
      <w:pgSz w:w="12240" w:h="15840"/>
      <w:pgMar w:left="720" w:right="720" w:gutter="0" w:header="720" w:top="776"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3"/>
        <w:szCs w:val="23"/>
      </w:rPr>
      <w:tab/>
    </w:r>
    <w:r>
      <w:rPr>
        <w:sz w:val="23"/>
        <w:szCs w:val="23"/>
      </w:rPr>
      <w:fldChar w:fldCharType="begin"/>
    </w:r>
    <w:r>
      <w:rPr>
        <w:sz w:val="23"/>
        <w:szCs w:val="23"/>
      </w:rPr>
      <w:instrText xml:space="preserve"> DATE \@"M-d-yyyy" </w:instrText>
    </w:r>
    <w:r>
      <w:rPr>
        <w:sz w:val="23"/>
        <w:szCs w:val="23"/>
      </w:rPr>
      <w:fldChar w:fldCharType="separate"/>
    </w:r>
    <w:r>
      <w:rPr>
        <w:sz w:val="23"/>
        <w:szCs w:val="23"/>
      </w:rPr>
      <w:t>9/28/2025</w:t>
    </w:r>
    <w:r>
      <w:rPr>
        <w:sz w:val="23"/>
        <w:szCs w:val="23"/>
      </w:rPr>
      <w:fldChar w:fldCharType="end"/>
    </w:r>
    <w:r>
      <w:rPr>
        <w:sz w:val="23"/>
        <w:szCs w:val="23"/>
      </w:rPr>
      <w:tab/>
      <w:t xml:space="preserve">Page </w:t>
    </w:r>
    <w:r>
      <w:rPr>
        <w:sz w:val="23"/>
        <w:szCs w:val="23"/>
      </w:rPr>
      <w:fldChar w:fldCharType="begin"/>
    </w:r>
    <w:r>
      <w:rPr>
        <w:sz w:val="23"/>
        <w:szCs w:val="23"/>
      </w:rPr>
      <w:instrText xml:space="preserve"> PAGE </w:instrText>
    </w:r>
    <w:r>
      <w:rPr>
        <w:sz w:val="23"/>
        <w:szCs w:val="23"/>
      </w:rPr>
      <w:fldChar w:fldCharType="separate"/>
    </w:r>
    <w:r>
      <w:rPr>
        <w:sz w:val="23"/>
        <w:szCs w:val="23"/>
      </w:rPr>
      <w:t>0</w:t>
    </w:r>
    <w:r>
      <w:rPr>
        <w:sz w:val="23"/>
        <w:szCs w:val="23"/>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2001-07-16T17:17:00Z</dcterms:created>
  <dc:creator>Jeff Ford</dc:creator>
  <dc:description/>
  <dc:language>en-CA</dc:language>
  <cp:lastModifiedBy>Daren Farmer</cp:lastModifiedBy>
  <cp:lastPrinted>2001-07-16T15:38:00Z</cp:lastPrinted>
  <dcterms:modified xsi:type="dcterms:W3CDTF">2001-07-16T18:37:00Z</dcterms:modified>
  <cp:revision>5</cp:revision>
  <dc:subject/>
  <dc:title>Eron Capital &amp; Trade Resources Memo</dc:title>
</cp:coreProperties>
</file>