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44" w:end="0"/>
        <w:jc w:val="center"/>
        <w:rPr/>
      </w:pPr>
      <w:r>
        <w:rPr>
          <w:rFonts w:cs="Arial" w:ascii="Arial" w:hAnsi="Arial"/>
          <w:sz w:val="20"/>
        </w:rPr>
        <w:t>S</w:t>
      </w:r>
      <w:r>
        <w:rPr>
          <w:rFonts w:cs="Arial" w:ascii="Arial" w:hAnsi="Arial"/>
          <w:caps/>
          <w:sz w:val="20"/>
        </w:rPr>
        <w:t>pecial provisions amendment</w:t>
      </w:r>
    </w:p>
    <w:p>
      <w:pPr>
        <w:pStyle w:val="Normal"/>
        <w:ind w:start="-144" w:end="0"/>
        <w:jc w:val="center"/>
        <w:rPr>
          <w:rFonts w:ascii="Arial" w:hAnsi="Arial" w:cs="Arial"/>
          <w:sz w:val="20"/>
        </w:rPr>
      </w:pPr>
      <w:r>
        <w:rPr>
          <w:rFonts w:cs="Arial" w:ascii="Arial" w:hAnsi="Arial"/>
          <w:sz w:val="20"/>
        </w:rPr>
        <w:t>ATTACHED TO AND MADE A PART OF THE</w:t>
      </w:r>
    </w:p>
    <w:p>
      <w:pPr>
        <w:pStyle w:val="Normal"/>
        <w:ind w:start="-144" w:end="0"/>
        <w:jc w:val="center"/>
        <w:rPr>
          <w:rFonts w:ascii="Arial" w:hAnsi="Arial" w:cs="Arial"/>
          <w:sz w:val="20"/>
        </w:rPr>
      </w:pPr>
      <w:r>
        <w:rPr>
          <w:rFonts w:cs="Arial" w:ascii="Arial" w:hAnsi="Arial"/>
          <w:sz w:val="20"/>
        </w:rPr>
        <w:t>BASE CONTRACT FOR SHORT-TERM</w:t>
      </w:r>
    </w:p>
    <w:p>
      <w:pPr>
        <w:pStyle w:val="Normal"/>
        <w:ind w:start="-144" w:end="0"/>
        <w:jc w:val="center"/>
        <w:rPr>
          <w:rFonts w:ascii="Arial" w:hAnsi="Arial" w:cs="Arial"/>
          <w:sz w:val="20"/>
        </w:rPr>
      </w:pPr>
      <w:r>
        <w:rPr>
          <w:rFonts w:cs="Arial" w:ascii="Arial" w:hAnsi="Arial"/>
          <w:sz w:val="20"/>
        </w:rPr>
        <w:t>SALE AND PURCHASE OF NATURAL GAS</w:t>
      </w:r>
    </w:p>
    <w:p>
      <w:pPr>
        <w:pStyle w:val="Normal"/>
        <w:ind w:start="-144" w:end="0"/>
        <w:jc w:val="center"/>
        <w:rPr>
          <w:rFonts w:ascii="Arial" w:hAnsi="Arial" w:cs="Arial"/>
          <w:sz w:val="20"/>
        </w:rPr>
      </w:pPr>
      <w:r>
        <w:rPr>
          <w:rFonts w:cs="Arial" w:ascii="Arial" w:hAnsi="Arial"/>
          <w:sz w:val="20"/>
        </w:rPr>
        <w:t>BY AND BETWEEN</w:t>
      </w:r>
    </w:p>
    <w:p>
      <w:pPr>
        <w:pStyle w:val="Normal"/>
        <w:ind w:start="-144" w:end="0"/>
        <w:jc w:val="center"/>
        <w:rPr>
          <w:rFonts w:ascii="Arial" w:hAnsi="Arial" w:cs="Arial"/>
          <w:caps/>
          <w:sz w:val="20"/>
        </w:rPr>
      </w:pPr>
      <w:r>
        <w:rPr>
          <w:rFonts w:cs="Arial" w:ascii="Arial" w:hAnsi="Arial"/>
          <w:caps/>
          <w:sz w:val="20"/>
        </w:rPr>
        <w:t>TXU Energy Trading COMpany LP</w:t>
      </w:r>
    </w:p>
    <w:p>
      <w:pPr>
        <w:pStyle w:val="Normal"/>
        <w:pBdr>
          <w:bottom w:val="single" w:sz="12" w:space="1" w:color="000000"/>
        </w:pBdr>
        <w:ind w:start="-144" w:end="0"/>
        <w:jc w:val="center"/>
        <w:rPr>
          <w:rFonts w:ascii="Arial" w:hAnsi="Arial" w:cs="Arial"/>
          <w:sz w:val="20"/>
        </w:rPr>
      </w:pPr>
      <w:r>
        <w:rPr>
          <w:rFonts w:cs="Arial" w:ascii="Arial" w:hAnsi="Arial"/>
          <w:sz w:val="20"/>
        </w:rPr>
        <w:t>AND</w:t>
      </w:r>
    </w:p>
    <w:p>
      <w:pPr>
        <w:pStyle w:val="Normal"/>
        <w:pBdr>
          <w:bottom w:val="single" w:sz="12" w:space="1" w:color="000000"/>
        </w:pBdr>
        <w:ind w:start="-144" w:end="0"/>
        <w:jc w:val="center"/>
        <w:rPr>
          <w:rFonts w:ascii="Arial" w:hAnsi="Arial" w:cs="Arial"/>
          <w:sz w:val="20"/>
        </w:rPr>
      </w:pPr>
      <w:r>
        <w:rPr>
          <w:rFonts w:cs="Arial" w:ascii="Arial" w:hAnsi="Arial"/>
          <w:sz w:val="20"/>
        </w:rPr>
        <w:t>PONDEROSA PINE ENERGY PARTNERS LTD</w:t>
      </w:r>
    </w:p>
    <w:p>
      <w:pPr>
        <w:pStyle w:val="Normal"/>
        <w:pBdr>
          <w:bottom w:val="single" w:sz="12" w:space="1" w:color="000000"/>
        </w:pBdr>
        <w:ind w:start="-144" w:end="0"/>
        <w:jc w:val="center"/>
        <w:rPr>
          <w:rFonts w:ascii="Arial" w:hAnsi="Arial" w:cs="Arial"/>
          <w:sz w:val="20"/>
        </w:rPr>
      </w:pPr>
      <w:r>
        <w:rPr>
          <w:rFonts w:cs="Arial" w:ascii="Arial" w:hAnsi="Arial"/>
          <w:sz w:val="20"/>
        </w:rPr>
      </w:r>
    </w:p>
    <w:p>
      <w:pPr>
        <w:pStyle w:val="Normal"/>
        <w:ind w:start="-144" w:end="0"/>
        <w:jc w:val="center"/>
        <w:rPr>
          <w:rFonts w:ascii="Arial" w:hAnsi="Arial" w:cs="Arial"/>
          <w:sz w:val="20"/>
        </w:rPr>
      </w:pPr>
      <w:r>
        <w:rPr>
          <w:rFonts w:cs="Arial" w:ascii="Arial" w:hAnsi="Arial"/>
          <w:sz w:val="20"/>
        </w:rPr>
      </w:r>
    </w:p>
    <w:p>
      <w:pPr>
        <w:pStyle w:val="Normal"/>
        <w:ind w:start="-144" w:end="0"/>
        <w:jc w:val="center"/>
        <w:rPr>
          <w:rFonts w:ascii="Arial" w:hAnsi="Arial" w:cs="Arial"/>
          <w:sz w:val="20"/>
        </w:rPr>
      </w:pPr>
      <w:r>
        <w:rPr>
          <w:rFonts w:cs="Arial" w:ascii="Arial" w:hAnsi="Arial"/>
          <w:sz w:val="20"/>
        </w:rPr>
        <w:t>DATED:   MARCH 01, 2002</w:t>
      </w:r>
    </w:p>
    <w:p>
      <w:pPr>
        <w:pStyle w:val="Normal"/>
        <w:ind w:start="-144" w:end="0"/>
        <w:jc w:val="center"/>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ab/>
        <w:tab/>
        <w:tab/>
        <w:tab/>
        <w:tab/>
        <w:tab/>
      </w:r>
    </w:p>
    <w:p>
      <w:pPr>
        <w:pStyle w:val="Normal"/>
        <w:ind w:start="-144" w:end="0"/>
        <w:jc w:val="both"/>
        <w:rPr>
          <w:rFonts w:ascii="Arial" w:hAnsi="Arial" w:cs="Arial"/>
          <w:sz w:val="20"/>
        </w:rPr>
      </w:pPr>
      <w:r>
        <w:rPr>
          <w:rFonts w:cs="Arial" w:ascii="Arial" w:hAnsi="Arial"/>
          <w:sz w:val="20"/>
        </w:rPr>
        <w:t>The Parties hereby amend the General Terms and Conditions of the Base Contract as follows:</w:t>
      </w:r>
    </w:p>
    <w:p>
      <w:pPr>
        <w:pStyle w:val="Normal"/>
        <w:ind w:start="-144" w:end="0"/>
        <w:jc w:val="both"/>
        <w:rPr>
          <w:rFonts w:ascii="Arial" w:hAnsi="Arial" w:cs="Arial"/>
          <w:sz w:val="20"/>
        </w:rPr>
      </w:pPr>
      <w:r>
        <w:rPr>
          <w:rFonts w:cs="Arial" w:ascii="Arial" w:hAnsi="Arial"/>
          <w:sz w:val="20"/>
        </w:rPr>
      </w:r>
    </w:p>
    <w:p>
      <w:pPr>
        <w:pStyle w:val="Normal"/>
        <w:numPr>
          <w:ilvl w:val="0"/>
          <w:numId w:val="2"/>
        </w:numPr>
        <w:jc w:val="both"/>
        <w:rPr>
          <w:rFonts w:ascii="Arial" w:hAnsi="Arial" w:cs="Arial"/>
          <w:sz w:val="20"/>
        </w:rPr>
      </w:pPr>
      <w:r>
        <w:rPr>
          <w:rFonts w:eastAsia="Arial" w:cs="Arial" w:ascii="Arial" w:hAnsi="Arial"/>
          <w:sz w:val="20"/>
        </w:rPr>
        <w:t xml:space="preserve">   </w:t>
      </w:r>
      <w:r>
        <w:rPr>
          <w:rFonts w:cs="Arial" w:ascii="Arial" w:hAnsi="Arial"/>
          <w:sz w:val="20"/>
        </w:rPr>
        <w:t>Section 1.2 - Recording Conversations</w:t>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Add the following to the end of Section 1.2:  “Each party to this Contract acknowledges and agrees to the tape or electronic recording of conversations between the parties to this Contract whether by one or the other or both parties, and in the absence of a written confirmation, such recordings shall be considered the best evidence of a transaction.  Each party waives any further notice of such monitoring or recording, and agrees to notify its officers and employees of such monitoring or recording and to obtain any necessary consent of such officers and employees.”</w:t>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2.    Section 1.3 – Conflict Resolution</w:t>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 xml:space="preserve">Amend Section 1.3 by replacing the last sentence thereof with the following: “Any conflict not reasonably capable of reconciliation between the Base Contract, a recorded conversation and/or Transaction Confirmation shall be resolved in the following order: (1) Transaction Confirmation that is binding due to its execution by both Parties, (2) recorded conversation, (3) unexecuted Transaction Confirmation deemed conclusive pursuant to the provisions of this Section 1.3, and (4) the General Provisions.”  </w:t>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3.    Section 2.15 – Definition of “Firm”</w:t>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 xml:space="preserve">Amend the first clause of Section 2.15 to read as follows: “‘Firm’ shall mean that either party may interrupt its performance without liability only to the extent that such performance is prevented for reasons of Force Majeure or the other party’s nonperformance; . . .” </w:t>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4. Add to section 7 - Billing, Payment and Audit</w:t>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Section 7.5 “If Buyer and Seller are each required to pay an amount under the terms of the Agreement in the same Month, then such amounts, with respect to each Party, will be aggregated and the Parties will discharge their obligations to pay through netting, in which case the Party owing the greater aggregate amount will pay to the other party the difference between the amounts owed.”</w:t>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5.    Section 8  - Title, Warranty and Indemnity</w:t>
      </w:r>
    </w:p>
    <w:p>
      <w:pPr>
        <w:pStyle w:val="Normal"/>
        <w:ind w:start="-144" w:end="0"/>
        <w:jc w:val="both"/>
        <w:rPr>
          <w:rFonts w:ascii="Arial" w:hAnsi="Arial" w:cs="Arial"/>
          <w:sz w:val="20"/>
        </w:rPr>
      </w:pPr>
      <w:r>
        <w:rPr>
          <w:rFonts w:cs="Arial" w:ascii="Arial" w:hAnsi="Arial"/>
          <w:sz w:val="20"/>
        </w:rPr>
      </w:r>
    </w:p>
    <w:p>
      <w:pPr>
        <w:pStyle w:val="Normal"/>
        <w:ind w:start="-144" w:end="0"/>
        <w:jc w:val="both"/>
        <w:rPr/>
      </w:pPr>
      <w:r>
        <w:rPr>
          <w:rFonts w:cs="Arial" w:ascii="Arial" w:hAnsi="Arial"/>
          <w:sz w:val="20"/>
        </w:rPr>
        <w:t>Add to the end of Section 8.2 the following: “</w:t>
      </w:r>
      <w:r>
        <w:rPr>
          <w:rFonts w:cs="Arial" w:ascii="Arial" w:hAnsi="Arial"/>
          <w:b/>
          <w:sz w:val="20"/>
        </w:rPr>
        <w:t>ALL OTHER WARRANTIES, EXPRESS OR IMPLIED, INCLUDING ANY WARRANTY OF MERCHANTABILITY OR OF FITNESS FOR ANY PARTICULAR PURPOSE, ARE DISCLAIMED.</w:t>
      </w:r>
      <w:r>
        <w:rPr>
          <w:rFonts w:cs="Arial" w:ascii="Arial" w:hAnsi="Arial"/>
          <w:sz w:val="20"/>
        </w:rPr>
        <w:t>”</w:t>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r>
    </w:p>
    <w:p>
      <w:pPr>
        <w:pStyle w:val="Normal"/>
        <w:numPr>
          <w:ilvl w:val="0"/>
          <w:numId w:val="3"/>
        </w:numPr>
        <w:jc w:val="both"/>
        <w:rPr>
          <w:rFonts w:ascii="Arial" w:hAnsi="Arial" w:cs="Arial"/>
          <w:sz w:val="20"/>
        </w:rPr>
      </w:pPr>
      <w:r>
        <w:rPr>
          <w:rFonts w:eastAsia="Arial" w:cs="Arial" w:ascii="Arial" w:hAnsi="Arial"/>
          <w:sz w:val="20"/>
        </w:rPr>
        <w:t xml:space="preserve">  </w:t>
      </w:r>
      <w:r>
        <w:rPr>
          <w:rFonts w:cs="Arial" w:ascii="Arial" w:hAnsi="Arial"/>
          <w:sz w:val="20"/>
        </w:rPr>
        <w:t>Section 8 - Title, Warranty and Indemnity</w:t>
      </w:r>
    </w:p>
    <w:p>
      <w:pPr>
        <w:pStyle w:val="Normal"/>
        <w:ind w:start="-144" w:end="0"/>
        <w:jc w:val="both"/>
        <w:rPr>
          <w:rFonts w:ascii="Arial" w:hAnsi="Arial" w:cs="Arial"/>
          <w:sz w:val="20"/>
        </w:rPr>
      </w:pPr>
      <w:r>
        <w:rPr>
          <w:rFonts w:cs="Arial" w:ascii="Arial" w:hAnsi="Arial"/>
          <w:sz w:val="20"/>
        </w:rPr>
      </w:r>
    </w:p>
    <w:p>
      <w:pPr>
        <w:pStyle w:val="Normal"/>
        <w:ind w:start="-90" w:end="0"/>
        <w:jc w:val="both"/>
        <w:rPr>
          <w:rFonts w:ascii="Arial" w:hAnsi="Arial" w:cs="Arial"/>
          <w:sz w:val="20"/>
        </w:rPr>
      </w:pPr>
      <w:r>
        <w:rPr>
          <w:rFonts w:cs="Arial" w:ascii="Arial" w:hAnsi="Arial"/>
          <w:sz w:val="20"/>
        </w:rPr>
        <w:t>Add the following as Section 8.5  “Any Gas purchased and sold hereunder at any points located on TXU Fuel Company or TXU Lone Star Pipeline (a division of TXU Gas Company), or any gas that is transported on TXU Fuel Company or TXU Lone Star Pipeline pursuant to any purchase or sale hereunder, will be Gas that is produced, transported, used and consumed solely within the State of Texas, and will not be commingled by either Party with any Gas that has been produced in or transported into, or that is to be transported, used or consumed in any state other than the State of Texas, unless such production, transportation, use, consumption or commingling is exempt from federal jurisdiction under the Natural Gas Act of 1938 (“NGA”), as amended.”</w:t>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7.    Section 10.1 - Financial Responsibility</w:t>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 xml:space="preserve">Delete the following: “a security interest in an asset acceptable to the demanding party”. </w:t>
      </w:r>
    </w:p>
    <w:p>
      <w:pPr>
        <w:pStyle w:val="Normal"/>
        <w:ind w:start="-144" w:end="0"/>
        <w:jc w:val="both"/>
        <w:rPr>
          <w:rFonts w:ascii="Arial" w:hAnsi="Arial" w:cs="Arial"/>
          <w:sz w:val="20"/>
        </w:rPr>
      </w:pPr>
      <w:r>
        <w:rPr>
          <w:rFonts w:cs="Arial" w:ascii="Arial" w:hAnsi="Arial"/>
          <w:sz w:val="20"/>
        </w:rPr>
      </w:r>
    </w:p>
    <w:p>
      <w:pPr>
        <w:pStyle w:val="Normal"/>
        <w:spacing w:lineRule="atLeast" w:line="240"/>
        <w:ind w:start="-144" w:end="0"/>
        <w:jc w:val="both"/>
        <w:rPr>
          <w:rFonts w:ascii="Arial" w:hAnsi="Arial" w:cs="Arial"/>
          <w:color w:val="000000"/>
          <w:sz w:val="20"/>
        </w:rPr>
      </w:pPr>
      <w:r>
        <w:rPr>
          <w:rFonts w:cs="Arial" w:ascii="Arial" w:hAnsi="Arial"/>
          <w:color w:val="000000"/>
          <w:sz w:val="20"/>
        </w:rPr>
        <w:t xml:space="preserve">8.    Section 10.1 -  Financial Responsibility </w:t>
      </w:r>
    </w:p>
    <w:p>
      <w:pPr>
        <w:pStyle w:val="Normal"/>
        <w:spacing w:lineRule="atLeast" w:line="240"/>
        <w:ind w:start="-144" w:end="0"/>
        <w:jc w:val="both"/>
        <w:rPr>
          <w:rFonts w:ascii="Arial" w:hAnsi="Arial" w:cs="Arial"/>
          <w:color w:val="000000"/>
          <w:sz w:val="20"/>
        </w:rPr>
      </w:pPr>
      <w:r>
        <w:rPr>
          <w:rFonts w:cs="Arial" w:ascii="Arial" w:hAnsi="Arial"/>
          <w:color w:val="000000"/>
          <w:sz w:val="20"/>
        </w:rPr>
      </w:r>
    </w:p>
    <w:p>
      <w:pPr>
        <w:pStyle w:val="Normal"/>
        <w:ind w:start="-144" w:end="0"/>
        <w:rPr/>
      </w:pPr>
      <w:r>
        <w:rPr>
          <w:rFonts w:cs="Arial" w:ascii="Arial" w:hAnsi="Arial"/>
          <w:color w:val="000000"/>
          <w:sz w:val="20"/>
        </w:rPr>
        <w:t xml:space="preserve">Delete </w:t>
      </w:r>
      <w:r>
        <w:rPr>
          <w:rFonts w:cs="Arial" w:ascii="Arial" w:hAnsi="Arial"/>
          <w:sz w:val="20"/>
        </w:rPr>
        <w:t xml:space="preserve">the third sentence of Section 10.1 </w:t>
      </w:r>
      <w:r>
        <w:rPr>
          <w:rFonts w:cs="Arial" w:ascii="Arial" w:hAnsi="Arial"/>
          <w:color w:val="000000"/>
          <w:sz w:val="20"/>
        </w:rPr>
        <w:t>and replace with the following: "If the party requesting a standby irrevocable letter of credit, a prepayment, or a performance bond or guarantee by a creditworthy entity has not received such from the other party within two (2) Business Days after such request, the requesting party may immediately, and without notice, suspend delivery of natural gas hereunder.</w:t>
      </w:r>
      <w:r>
        <w:rPr>
          <w:rFonts w:cs="Arial" w:ascii="Arial" w:hAnsi="Arial"/>
          <w:sz w:val="20"/>
        </w:rPr>
        <w:t xml:space="preserve">  </w:t>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9.    Section 11.3 – Force Majeure</w:t>
        <w:tab/>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Delete Section 11.3 in its entirety and replace with the following: The term Force Majeure specifically excludes the following occurrences or events  (i) the loss, interruption, or curtailment of interruptible transportation on any Transporter necessary to effect receipt or delivery of Gas hereunder, unless the same event also curtails firm transportation at the Delivery Point, (ii) loss of markets; (iii) failure of specific, individual wells or appurtenant facilities in the absence of a Force Majeure event affecting other wells and/or facilities over a broad geographic area; (iv) regulatory disallowance of the passthrough of the costs of natural gas or other related costs; (v) planned maintenance; (vi) the party claiming excuse failed to remedy the condition and to resume the performance of such covenants or obligations with reasonable dispatch or (vii) economic hardship. The party claiming Force Majeure shall not be excused from its responsibility for Imbalance Charges.</w:t>
      </w:r>
    </w:p>
    <w:p>
      <w:pPr>
        <w:pStyle w:val="Normal"/>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10.    Article 14 – Events of Default</w:t>
      </w:r>
    </w:p>
    <w:p>
      <w:pPr>
        <w:pStyle w:val="Normal"/>
        <w:ind w:start="-144" w:end="0"/>
        <w:jc w:val="both"/>
        <w:rPr>
          <w:rFonts w:ascii="Arial" w:hAnsi="Arial" w:cs="Arial"/>
          <w:sz w:val="20"/>
        </w:rPr>
      </w:pPr>
      <w:r>
        <w:rPr>
          <w:rFonts w:cs="Arial" w:ascii="Arial" w:hAnsi="Arial"/>
          <w:sz w:val="20"/>
        </w:rPr>
      </w:r>
    </w:p>
    <w:p>
      <w:pPr>
        <w:pStyle w:val="p9"/>
        <w:tabs>
          <w:tab w:val="clear" w:pos="1500"/>
        </w:tabs>
        <w:spacing w:lineRule="auto" w:line="240"/>
        <w:ind w:start="-144" w:end="0"/>
        <w:rPr/>
      </w:pPr>
      <w:r>
        <w:rPr>
          <w:rFonts w:cs="Arial" w:ascii="Arial" w:hAnsi="Arial"/>
          <w:sz w:val="20"/>
        </w:rPr>
        <w:t>Add the following as Section 14: “‘Triggering Event’ shall mean, with respect to a Party (the ‘</w:t>
      </w:r>
      <w:r>
        <w:rPr>
          <w:rFonts w:cs="Arial" w:ascii="Arial" w:hAnsi="Arial"/>
          <w:sz w:val="20"/>
          <w:u w:val="single"/>
        </w:rPr>
        <w:t>Defaulting Party’</w:t>
      </w:r>
      <w:r>
        <w:rPr>
          <w:rFonts w:cs="Arial" w:ascii="Arial" w:hAnsi="Arial"/>
          <w:sz w:val="20"/>
        </w:rPr>
        <w:t>): (i) the failure by the Defaulting Party to make, when due, any payment required under this Contract or to perform any other covenant set forth herein (except for any failure to deliver or receive Gas for which there is a specific remedy provided), if such failure is not remedied within five (5) Business Days after written notice of such failure is given to the Defaulting Party; (ii) any representation or warranty made by the Defaulting Party in this Contract shall prove to have been false or misleading in any material respect; (iii) the Defaulting Party shall (a) make an assignment or any general arrangement for the benefit of creditors, (b) file a petition or otherwise commence, authorize or acquiesce in the commencement of a proceeding or cause under any bankruptcy or similar law for the protection of creditors, or have such petition filed against it and such proceeding remains undismissed for 30 days, (c) otherwise become bankrupt or insolvent (however evidenced), (d) be unable to pay its debts as they fall due, or (e) have a liquidator, administrator, receiver, trustee, conservator or similar official appointed with respect to it or any substantial portion of its property or assets; or (iv) the failure to provide adequate assurance of performance within two (2) Business Days of a request thereof by the other Party.</w:t>
      </w:r>
    </w:p>
    <w:p>
      <w:pPr>
        <w:pStyle w:val="p9"/>
        <w:tabs>
          <w:tab w:val="clear" w:pos="1500"/>
        </w:tabs>
        <w:spacing w:lineRule="auto" w:line="240"/>
        <w:ind w:start="-144" w:end="0"/>
        <w:rPr>
          <w:rFonts w:ascii="Arial" w:hAnsi="Arial" w:cs="Arial"/>
          <w:sz w:val="20"/>
        </w:rPr>
      </w:pPr>
      <w:r>
        <w:rPr>
          <w:rFonts w:cs="Arial" w:ascii="Arial" w:hAnsi="Arial"/>
          <w:sz w:val="20"/>
        </w:rPr>
      </w:r>
    </w:p>
    <w:p>
      <w:pPr>
        <w:pStyle w:val="p9"/>
        <w:tabs>
          <w:tab w:val="clear" w:pos="1500"/>
        </w:tabs>
        <w:spacing w:lineRule="auto" w:line="240"/>
        <w:ind w:start="-144" w:end="0"/>
        <w:rPr/>
      </w:pPr>
      <w:r>
        <w:rPr>
          <w:rFonts w:cs="Arial" w:ascii="Arial" w:hAnsi="Arial"/>
          <w:sz w:val="20"/>
        </w:rPr>
        <w:t xml:space="preserve">If a Triggering Event occurs with respect to either Party during a Period of Delivery, the </w:t>
      </w:r>
      <w:r>
        <w:rPr>
          <w:rFonts w:cs="Arial" w:ascii="Arial" w:hAnsi="Arial"/>
          <w:sz w:val="20"/>
          <w:u w:val="single"/>
        </w:rPr>
        <w:t>Non-Defaulting Party</w:t>
      </w:r>
      <w:r>
        <w:rPr>
          <w:rFonts w:cs="Arial" w:ascii="Arial" w:hAnsi="Arial"/>
          <w:sz w:val="20"/>
        </w:rPr>
        <w:t xml:space="preserve"> may upon two (2) Business Days written notice to the Defaulting Party, establish a date on which all Transactions governed by the Contract will terminate (‘</w:t>
      </w:r>
      <w:r>
        <w:rPr>
          <w:rFonts w:cs="Arial" w:ascii="Arial" w:hAnsi="Arial"/>
          <w:sz w:val="20"/>
          <w:u w:val="single"/>
        </w:rPr>
        <w:t>Early Termination Date’</w:t>
      </w:r>
      <w:r>
        <w:rPr>
          <w:rFonts w:cs="Arial" w:ascii="Arial" w:hAnsi="Arial"/>
          <w:sz w:val="20"/>
        </w:rPr>
        <w:t>), and withhold any payments then due; provided, upon the occurrence of any Triggering Event listed in item (iii) above all Transactions and the Contract in respect thereof shall automatically terminate, without notice, as if an Early Termination Date had been declared immediately prior to such event.  If an Early Termination Date occurs, the Non-Defaulting Party shall in good faith calculate its damages, including its associated costs and legal fees, resulting from the termination of all Firm Transactions discounted to present value (the ‘</w:t>
      </w:r>
      <w:r>
        <w:rPr>
          <w:rFonts w:cs="Arial" w:ascii="Arial" w:hAnsi="Arial"/>
          <w:sz w:val="20"/>
          <w:u w:val="single"/>
        </w:rPr>
        <w:t>Termination Payment’</w:t>
      </w:r>
      <w:r>
        <w:rPr>
          <w:rFonts w:cs="Arial" w:ascii="Arial" w:hAnsi="Arial"/>
          <w:sz w:val="20"/>
        </w:rPr>
        <w:t>).  The Termination Payment will be determined by (i) comparing the value of (a) the remaining Period of Delivery, Contract Quantity and price under each Firm Transaction had it not been terminated to (b) the cost of entering into a replacement Transaction as quoted by a bona fide third party offer or which is reasonably expected to be available in the market and (ii) ascertaining the associated costs and legal fees.  All terminated Firm Transactions and all additional amounts payable by it pursuant to the Contract shall be aggregated and netted against each other and upon netting, the party owing the Termination Payment shall pay the other party within two (2) Business Days of receiving notice of the amount of the Termination Payment.</w:t>
      </w:r>
    </w:p>
    <w:p>
      <w:pPr>
        <w:pStyle w:val="p9"/>
        <w:tabs>
          <w:tab w:val="clear" w:pos="1500"/>
        </w:tabs>
        <w:spacing w:lineRule="auto" w:line="240"/>
        <w:ind w:start="-144" w:end="0"/>
        <w:rPr>
          <w:rFonts w:ascii="Arial" w:hAnsi="Arial" w:cs="Arial"/>
          <w:sz w:val="20"/>
        </w:rPr>
      </w:pPr>
      <w:r>
        <w:rPr>
          <w:rFonts w:cs="Arial" w:ascii="Arial" w:hAnsi="Arial"/>
          <w:sz w:val="20"/>
        </w:rPr>
      </w:r>
    </w:p>
    <w:p>
      <w:pPr>
        <w:pStyle w:val="p9"/>
        <w:tabs>
          <w:tab w:val="clear" w:pos="1500"/>
        </w:tabs>
        <w:spacing w:lineRule="auto" w:line="240"/>
        <w:ind w:start="-144" w:end="0"/>
        <w:rPr/>
      </w:pPr>
      <w:r>
        <w:rPr>
          <w:rFonts w:cs="Arial" w:ascii="Arial" w:hAnsi="Arial"/>
          <w:sz w:val="20"/>
        </w:rPr>
        <w:t>The Non-Defaulting Party's rights under this Article are in</w:t>
      </w:r>
      <w:r>
        <w:rPr>
          <w:rFonts w:cs="Arial" w:ascii="Arial" w:hAnsi="Arial"/>
          <w:b/>
          <w:sz w:val="20"/>
        </w:rPr>
        <w:t xml:space="preserve"> </w:t>
      </w:r>
      <w:r>
        <w:rPr>
          <w:rFonts w:cs="Arial" w:ascii="Arial" w:hAnsi="Arial"/>
          <w:sz w:val="20"/>
        </w:rPr>
        <w:t>addition to, and not in limitation or exclusion of any other rights the Non-Defaulting Party may have (whether by contract, operation of law or otherwise).  The parties agree that a Transaction under this Contract shall constitute a "forward contract" and the Parties hereto are “forward contract merchants” within the meaning of the United States Bankruptcy Code.</w:t>
      </w:r>
    </w:p>
    <w:p>
      <w:pPr>
        <w:pStyle w:val="p4"/>
        <w:tabs>
          <w:tab w:val="clear" w:pos="1480"/>
        </w:tabs>
        <w:spacing w:lineRule="auto" w:line="240"/>
        <w:ind w:start="-144" w:end="0"/>
        <w:rPr>
          <w:rFonts w:ascii="Arial" w:hAnsi="Arial" w:cs="Arial"/>
          <w:sz w:val="20"/>
        </w:rPr>
      </w:pPr>
      <w:r>
        <w:rPr>
          <w:rFonts w:cs="Arial" w:ascii="Arial" w:hAnsi="Arial"/>
          <w:sz w:val="20"/>
        </w:rPr>
      </w:r>
    </w:p>
    <w:p>
      <w:pPr>
        <w:pStyle w:val="p4"/>
        <w:tabs>
          <w:tab w:val="clear" w:pos="1480"/>
        </w:tabs>
        <w:spacing w:lineRule="auto" w:line="240"/>
        <w:ind w:start="-144" w:end="0"/>
        <w:rPr>
          <w:rFonts w:ascii="Arial" w:hAnsi="Arial" w:cs="Arial"/>
          <w:sz w:val="20"/>
        </w:rPr>
      </w:pPr>
      <w:r>
        <w:rPr>
          <w:rFonts w:cs="Arial" w:ascii="Arial" w:hAnsi="Arial"/>
          <w:sz w:val="20"/>
        </w:rPr>
        <w:t>The Non-Defaulting Party shall give notice that a liquidation pursuant to this Article has occurred to the Defaulting Party on the Business Day following such liquidation, provided that failure to give such notice shall not affect the validity or enforceability of the liquidation or give rise to any claim by the Defaulting Party against the Non-Defaulting Party.  Nothing in this Section shall be construed to relieve the Non-Defaulting Party of its obligation to give prior notice of default.</w:t>
      </w:r>
    </w:p>
    <w:p>
      <w:pPr>
        <w:pStyle w:val="p5"/>
        <w:tabs>
          <w:tab w:val="clear" w:pos="720"/>
        </w:tabs>
        <w:spacing w:lineRule="auto" w:line="240"/>
        <w:ind w:start="-144" w:end="0"/>
        <w:jc w:val="both"/>
        <w:rPr>
          <w:rFonts w:ascii="Arial" w:hAnsi="Arial" w:cs="Arial"/>
          <w:sz w:val="20"/>
        </w:rPr>
      </w:pPr>
      <w:r>
        <w:rPr>
          <w:rFonts w:cs="Arial" w:ascii="Arial" w:hAnsi="Arial"/>
          <w:sz w:val="20"/>
        </w:rPr>
      </w:r>
    </w:p>
    <w:p>
      <w:pPr>
        <w:pStyle w:val="Normal"/>
        <w:ind w:start="-144" w:end="0"/>
        <w:jc w:val="both"/>
        <w:rPr>
          <w:rFonts w:ascii="Arial" w:hAnsi="Arial" w:cs="Arial"/>
          <w:sz w:val="20"/>
        </w:rPr>
      </w:pPr>
      <w:r>
        <w:rPr>
          <w:rFonts w:cs="Arial" w:ascii="Arial" w:hAnsi="Arial"/>
          <w:sz w:val="20"/>
        </w:rPr>
        <w:t xml:space="preserve">If a termination and liquidation of transactions occurs, the Non-Defaulting Party may from time to time set off any or all amounts which the Defaulting Party owes to the Non-Defaulting Party (whether under the Contract or otherwise and whether or not then due) against any or all amounts which it owes to the Defaulting Party (whether under the Contract or under any other agreements between the parties and whether or not then due) provided that any amount not then due which is included in such set off shall be discounted to present value at the time of set off (taking into account the period between the date of set off and the date on which such amount would have otherwise been due).  </w:t>
      </w:r>
    </w:p>
    <w:p>
      <w:pPr>
        <w:pStyle w:val="Normal"/>
        <w:ind w:start="-144" w:end="0"/>
        <w:jc w:val="both"/>
        <w:rPr>
          <w:rFonts w:ascii="Arial" w:hAnsi="Arial" w:cs="Arial"/>
          <w:sz w:val="20"/>
        </w:rPr>
      </w:pPr>
      <w:r>
        <w:rPr>
          <w:rFonts w:cs="Arial" w:ascii="Arial" w:hAnsi="Arial"/>
          <w:sz w:val="20"/>
        </w:rPr>
      </w:r>
    </w:p>
    <w:p>
      <w:pPr>
        <w:pStyle w:val="BodyTextIndent2"/>
        <w:rPr/>
      </w:pPr>
      <w:r>
        <w:rPr/>
        <w:t>Except for and specifically amended herein, all terms and conditions of the Base Contract remain in full force and effect.</w:t>
      </w:r>
    </w:p>
    <w:p>
      <w:pPr>
        <w:pStyle w:val="Normal"/>
        <w:tabs>
          <w:tab w:val="clear" w:pos="720"/>
          <w:tab w:val="left" w:pos="4320" w:leader="none"/>
          <w:tab w:val="left" w:pos="5040" w:leader="none"/>
        </w:tabs>
        <w:ind w:start="-144" w:end="0"/>
        <w:jc w:val="both"/>
        <w:rPr>
          <w:rFonts w:ascii="Arial" w:hAnsi="Arial" w:cs="Arial"/>
          <w:sz w:val="20"/>
        </w:rPr>
      </w:pPr>
      <w:r>
        <w:rPr>
          <w:rFonts w:cs="Arial" w:ascii="Arial" w:hAnsi="Arial"/>
          <w:sz w:val="20"/>
        </w:rPr>
      </w:r>
    </w:p>
    <w:p>
      <w:pPr>
        <w:pStyle w:val="Normal"/>
        <w:tabs>
          <w:tab w:val="clear" w:pos="720"/>
          <w:tab w:val="left" w:pos="4320" w:leader="none"/>
          <w:tab w:val="left" w:pos="5040" w:leader="none"/>
        </w:tabs>
        <w:ind w:start="-144" w:end="0"/>
        <w:jc w:val="both"/>
        <w:rPr>
          <w:rFonts w:ascii="Arial" w:hAnsi="Arial" w:cs="Arial"/>
          <w:sz w:val="20"/>
        </w:rPr>
      </w:pPr>
      <w:r>
        <w:rPr>
          <w:rFonts w:cs="Arial" w:ascii="Arial" w:hAnsi="Arial"/>
          <w:sz w:val="20"/>
        </w:rPr>
      </w:r>
    </w:p>
    <w:p>
      <w:pPr>
        <w:pStyle w:val="Normal"/>
        <w:tabs>
          <w:tab w:val="clear" w:pos="720"/>
          <w:tab w:val="left" w:pos="4320" w:leader="none"/>
          <w:tab w:val="left" w:pos="5040" w:leader="none"/>
        </w:tabs>
        <w:ind w:start="-144" w:end="0"/>
        <w:jc w:val="both"/>
        <w:rPr/>
      </w:pPr>
      <w:r>
        <w:rPr>
          <w:rFonts w:cs="Arial" w:ascii="Arial" w:hAnsi="Arial"/>
          <w:bCs/>
          <w:sz w:val="20"/>
        </w:rPr>
        <w:t>PONDEROSA PINE ENERGY PARTNERS LTD</w:t>
      </w:r>
      <w:r>
        <w:rPr>
          <w:rFonts w:cs="Arial" w:ascii="Arial" w:hAnsi="Arial"/>
          <w:sz w:val="20"/>
        </w:rPr>
        <w:tab/>
        <w:t>TXU ENERGY TRADING COMPANY LP</w:t>
      </w:r>
    </w:p>
    <w:p>
      <w:pPr>
        <w:pStyle w:val="Normal"/>
        <w:tabs>
          <w:tab w:val="clear" w:pos="720"/>
          <w:tab w:val="left" w:pos="4320" w:leader="none"/>
          <w:tab w:val="left" w:pos="5040" w:leader="none"/>
        </w:tabs>
        <w:ind w:start="-144" w:end="0"/>
        <w:jc w:val="both"/>
        <w:rPr/>
      </w:pPr>
      <w:r>
        <w:rPr>
          <w:rFonts w:cs="Arial" w:ascii="Arial" w:hAnsi="Arial"/>
          <w:bCs/>
          <w:sz w:val="16"/>
        </w:rPr>
        <w:tab/>
      </w:r>
      <w:r>
        <w:rPr>
          <w:rFonts w:cs="Arial" w:ascii="Arial" w:hAnsi="Arial"/>
          <w:bCs/>
          <w:sz w:val="18"/>
        </w:rPr>
        <w:t>By: TXU Energy Trading Management Company LLC</w:t>
      </w:r>
    </w:p>
    <w:p>
      <w:pPr>
        <w:pStyle w:val="Normal"/>
        <w:tabs>
          <w:tab w:val="clear" w:pos="720"/>
          <w:tab w:val="left" w:pos="4320" w:leader="none"/>
          <w:tab w:val="left" w:pos="5040" w:leader="none"/>
        </w:tabs>
        <w:ind w:start="-144" w:end="0"/>
        <w:jc w:val="both"/>
        <w:rPr>
          <w:rFonts w:ascii="Arial" w:hAnsi="Arial" w:cs="Arial"/>
          <w:bCs/>
          <w:sz w:val="18"/>
        </w:rPr>
      </w:pPr>
      <w:r>
        <w:rPr>
          <w:rFonts w:cs="Arial" w:ascii="Arial" w:hAnsi="Arial"/>
          <w:bCs/>
          <w:sz w:val="18"/>
        </w:rPr>
        <w:tab/>
        <w:t>Its General Partner</w:t>
      </w:r>
    </w:p>
    <w:p>
      <w:pPr>
        <w:pStyle w:val="Normal"/>
        <w:tabs>
          <w:tab w:val="clear" w:pos="720"/>
          <w:tab w:val="left" w:pos="4320" w:leader="none"/>
          <w:tab w:val="left" w:pos="5040" w:leader="none"/>
        </w:tabs>
        <w:ind w:start="-144" w:end="0"/>
        <w:jc w:val="both"/>
        <w:rPr>
          <w:rFonts w:ascii="Arial" w:hAnsi="Arial" w:cs="Arial"/>
          <w:bCs/>
          <w:sz w:val="20"/>
        </w:rPr>
      </w:pPr>
      <w:r>
        <w:rPr>
          <w:rFonts w:cs="Arial" w:ascii="Arial" w:hAnsi="Arial"/>
          <w:bCs/>
          <w:sz w:val="20"/>
        </w:rPr>
      </w:r>
    </w:p>
    <w:p>
      <w:pPr>
        <w:pStyle w:val="Normal"/>
        <w:tabs>
          <w:tab w:val="clear" w:pos="720"/>
          <w:tab w:val="left" w:pos="4320" w:leader="none"/>
          <w:tab w:val="left" w:pos="5040" w:leader="none"/>
        </w:tabs>
        <w:ind w:start="-144" w:end="0"/>
        <w:jc w:val="both"/>
        <w:rPr>
          <w:rFonts w:ascii="Arial" w:hAnsi="Arial" w:cs="Arial"/>
          <w:sz w:val="20"/>
        </w:rPr>
      </w:pPr>
      <w:r>
        <w:rPr>
          <w:rFonts w:cs="Arial" w:ascii="Arial" w:hAnsi="Arial"/>
          <w:sz w:val="20"/>
        </w:rPr>
      </w:r>
    </w:p>
    <w:p>
      <w:pPr>
        <w:pStyle w:val="Normal"/>
        <w:tabs>
          <w:tab w:val="clear" w:pos="720"/>
          <w:tab w:val="left" w:pos="3600" w:leader="none"/>
          <w:tab w:val="left" w:pos="4320" w:leader="none"/>
          <w:tab w:val="left" w:pos="5040" w:leader="none"/>
        </w:tabs>
        <w:ind w:start="-144" w:end="0"/>
        <w:jc w:val="both"/>
        <w:rPr/>
      </w:pPr>
      <w:r>
        <w:rPr>
          <w:rFonts w:cs="Arial" w:ascii="Arial" w:hAnsi="Arial"/>
          <w:sz w:val="20"/>
          <w:u w:val="single"/>
        </w:rPr>
        <w:tab/>
      </w:r>
      <w:r>
        <w:rPr>
          <w:rFonts w:cs="Arial" w:ascii="Arial" w:hAnsi="Arial"/>
          <w:sz w:val="20"/>
        </w:rPr>
        <w:tab/>
      </w:r>
      <w:r>
        <w:rPr>
          <w:rFonts w:cs="Arial" w:ascii="Arial" w:hAnsi="Arial"/>
          <w:sz w:val="20"/>
          <w:u w:val="single"/>
        </w:rPr>
        <w:tab/>
        <w:tab/>
        <w:tab/>
        <w:tab/>
        <w:tab/>
      </w:r>
    </w:p>
    <w:p>
      <w:pPr>
        <w:pStyle w:val="Normal"/>
        <w:tabs>
          <w:tab w:val="clear" w:pos="720"/>
          <w:tab w:val="left" w:pos="4320" w:leader="none"/>
          <w:tab w:val="left" w:pos="5040" w:leader="none"/>
        </w:tabs>
        <w:ind w:start="-144" w:end="0"/>
        <w:jc w:val="both"/>
        <w:rPr>
          <w:rFonts w:ascii="Arial" w:hAnsi="Arial" w:cs="Arial"/>
          <w:sz w:val="20"/>
        </w:rPr>
      </w:pPr>
      <w:r>
        <w:rPr>
          <w:rFonts w:cs="Arial" w:ascii="Arial" w:hAnsi="Arial"/>
          <w:sz w:val="20"/>
        </w:rPr>
        <w:t xml:space="preserve">Name:  </w:t>
        <w:tab/>
        <w:t>Name:</w:t>
        <w:tab/>
        <w:t>Jeff Shorter</w:t>
        <w:tab/>
        <w:t xml:space="preserve"> </w:t>
        <w:tab/>
        <w:tab/>
      </w:r>
    </w:p>
    <w:p>
      <w:pPr>
        <w:pStyle w:val="Normal"/>
        <w:tabs>
          <w:tab w:val="clear" w:pos="720"/>
          <w:tab w:val="left" w:pos="4320" w:leader="none"/>
          <w:tab w:val="left" w:pos="5040" w:leader="none"/>
        </w:tabs>
        <w:ind w:start="-144" w:end="0"/>
        <w:jc w:val="both"/>
        <w:rPr>
          <w:rFonts w:ascii="Arial" w:hAnsi="Arial" w:cs="Arial"/>
          <w:sz w:val="20"/>
        </w:rPr>
      </w:pPr>
      <w:r>
        <w:rPr>
          <w:rFonts w:cs="Arial" w:ascii="Arial" w:hAnsi="Arial"/>
          <w:sz w:val="20"/>
        </w:rPr>
        <w:t xml:space="preserve">Title:  </w:t>
        <w:tab/>
        <w:t>Title:</w:t>
        <w:tab/>
        <w:t>Vice President</w:t>
      </w:r>
    </w:p>
    <w:p>
      <w:pPr>
        <w:pStyle w:val="Normal"/>
        <w:tabs>
          <w:tab w:val="clear" w:pos="720"/>
          <w:tab w:val="left" w:pos="4320" w:leader="none"/>
          <w:tab w:val="left" w:pos="5040" w:leader="none"/>
        </w:tabs>
        <w:ind w:start="-144" w:end="0"/>
        <w:jc w:val="both"/>
        <w:rPr>
          <w:rFonts w:ascii="Arial" w:hAnsi="Arial" w:cs="Arial"/>
          <w:sz w:val="20"/>
        </w:rPr>
      </w:pPr>
      <w:r>
        <w:rPr>
          <w:rFonts w:cs="Arial" w:ascii="Arial" w:hAnsi="Arial"/>
          <w:sz w:val="20"/>
        </w:rPr>
        <w:t>Date: __________________</w:t>
        <w:tab/>
        <w:t>Date: __________________</w:t>
        <w:tab/>
        <w:tab/>
        <w:tab/>
        <w:tab/>
        <w:tab/>
        <w:tab/>
        <w:tab/>
        <w:tab/>
        <w:tab/>
        <w:tab/>
        <w:tab/>
        <w:tab/>
      </w:r>
    </w:p>
    <w:p>
      <w:pPr>
        <w:pStyle w:val="Normal"/>
        <w:tabs>
          <w:tab w:val="clear" w:pos="720"/>
          <w:tab w:val="left" w:pos="4320" w:leader="none"/>
          <w:tab w:val="left" w:pos="5040" w:leader="none"/>
        </w:tabs>
        <w:ind w:start="-144" w:end="0"/>
        <w:jc w:val="both"/>
        <w:rPr>
          <w:rFonts w:ascii="Arial" w:hAnsi="Arial" w:cs="Arial"/>
          <w:sz w:val="20"/>
        </w:rPr>
      </w:pPr>
      <w:r>
        <w:rPr>
          <w:rFonts w:cs="Arial" w:ascii="Arial" w:hAnsi="Arial"/>
          <w:sz w:val="20"/>
        </w:rPr>
      </w:r>
    </w:p>
    <w:p>
      <w:pPr>
        <w:pStyle w:val="Normal"/>
        <w:tabs>
          <w:tab w:val="clear" w:pos="720"/>
          <w:tab w:val="left" w:pos="4320" w:leader="none"/>
          <w:tab w:val="left" w:pos="5040" w:leader="none"/>
        </w:tabs>
        <w:ind w:start="-144" w:end="0"/>
        <w:jc w:val="both"/>
        <w:rPr>
          <w:rFonts w:ascii="Arial" w:hAnsi="Arial" w:cs="Arial"/>
          <w:sz w:val="20"/>
        </w:rPr>
      </w:pPr>
      <w:r>
        <w:rPr>
          <w:rFonts w:cs="Arial" w:ascii="Arial" w:hAnsi="Arial"/>
          <w:sz w:val="20"/>
        </w:rPr>
        <w:tab/>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
        </w:tabs>
        <w:ind w:start="216" w:hanging="360"/>
      </w:pPr>
      <w:rPr/>
    </w:lvl>
  </w:abstractNum>
  <w:abstractNum w:abstractNumId="3">
    <w:lvl w:ilvl="0">
      <w:start w:val="6"/>
      <w:numFmt w:val="decimal"/>
      <w:lvlText w:val="%1."/>
      <w:lvlJc w:val="start"/>
      <w:pPr>
        <w:tabs>
          <w:tab w:val="num" w:pos="216"/>
        </w:tabs>
        <w:ind w:start="216"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Arial" w:hAnsi="Arial" w:cs="Arial"/>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2">
    <w:name w:val="c2"/>
    <w:basedOn w:val="Normal"/>
    <w:qFormat/>
    <w:pPr>
      <w:widowControl w:val="false"/>
      <w:spacing w:lineRule="atLeast" w:line="240"/>
      <w:jc w:val="center"/>
    </w:pPr>
    <w:rPr/>
  </w:style>
  <w:style w:type="paragraph" w:styleId="p4">
    <w:name w:val="p4"/>
    <w:basedOn w:val="Normal"/>
    <w:qFormat/>
    <w:pPr>
      <w:widowControl w:val="false"/>
      <w:tabs>
        <w:tab w:val="clear" w:pos="720"/>
        <w:tab w:val="left" w:pos="1480" w:leader="none"/>
      </w:tabs>
      <w:spacing w:lineRule="atLeast" w:line="420"/>
      <w:jc w:val="both"/>
    </w:pPr>
    <w:rPr/>
  </w:style>
  <w:style w:type="paragraph" w:styleId="p5">
    <w:name w:val="p5"/>
    <w:basedOn w:val="Normal"/>
    <w:qFormat/>
    <w:pPr>
      <w:widowControl w:val="false"/>
      <w:tabs>
        <w:tab w:val="left" w:pos="720" w:leader="none"/>
      </w:tabs>
      <w:spacing w:lineRule="atLeast" w:line="240"/>
    </w:pPr>
    <w:rPr/>
  </w:style>
  <w:style w:type="paragraph" w:styleId="p9">
    <w:name w:val="p9"/>
    <w:basedOn w:val="Normal"/>
    <w:qFormat/>
    <w:pPr>
      <w:widowControl w:val="false"/>
      <w:tabs>
        <w:tab w:val="clear" w:pos="720"/>
        <w:tab w:val="left" w:pos="1500" w:leader="none"/>
      </w:tabs>
      <w:spacing w:lineRule="atLeast" w:line="420"/>
      <w:jc w:val="both"/>
    </w:pPr>
    <w:rPr/>
  </w:style>
  <w:style w:type="paragraph" w:styleId="p22">
    <w:name w:val="p22"/>
    <w:basedOn w:val="Normal"/>
    <w:qFormat/>
    <w:pPr>
      <w:widowControl w:val="false"/>
      <w:tabs>
        <w:tab w:val="clear" w:pos="720"/>
        <w:tab w:val="left" w:pos="1500" w:leader="none"/>
        <w:tab w:val="left" w:pos="2220" w:leader="none"/>
      </w:tabs>
      <w:spacing w:lineRule="atLeast" w:line="420"/>
      <w:ind w:firstLine="1440" w:start="1200" w:end="0"/>
      <w:jc w:val="both"/>
    </w:pPr>
    <w:rPr/>
  </w:style>
  <w:style w:type="paragraph" w:styleId="BodyTextIndent">
    <w:name w:val="Body Text Indent"/>
    <w:basedOn w:val="Normal"/>
    <w:pPr>
      <w:ind w:hanging="0" w:start="-144" w:end="0"/>
    </w:pPr>
    <w:rPr>
      <w:rFonts w:ascii="Arial" w:hAnsi="Arial" w:cs="Arial"/>
      <w:sz w:val="20"/>
    </w:rPr>
  </w:style>
  <w:style w:type="paragraph" w:styleId="BodyTextIndent2">
    <w:name w:val="Body Text Indent 2"/>
    <w:basedOn w:val="Normal"/>
    <w:qFormat/>
    <w:pPr>
      <w:ind w:hanging="0" w:start="-144" w:end="0"/>
      <w:jc w:val="both"/>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2002-02-25T12:05:00Z</dcterms:created>
  <dc:creator>Craig R. Enochs</dc:creator>
  <dc:description/>
  <dc:language>en-CA</dc:language>
  <cp:lastModifiedBy>E4ER</cp:lastModifiedBy>
  <cp:lastPrinted>2002-01-07T09:05:00Z</cp:lastPrinted>
  <dcterms:modified xsi:type="dcterms:W3CDTF">2002-02-25T12:12:00Z</dcterms:modified>
  <cp:revision>3</cp:revision>
  <dc:subject/>
  <dc:title>Proposed New GISB Special Provisions</dc:title>
</cp:coreProperties>
</file>