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Cs/>
          <w:sz w:val="24"/>
          <w:u w:val="single"/>
        </w:rPr>
      </w:pPr>
      <w:r>
        <w:rPr>
          <w:b/>
          <w:bCs/>
          <w:sz w:val="24"/>
          <w:u w:val="single"/>
        </w:rPr>
        <w:t>APPENDIX B:  TRADING</w:t>
      </w:r>
    </w:p>
    <w:p>
      <w:pPr>
        <w:pStyle w:val="Normal"/>
        <w:jc w:val="both"/>
        <w:rPr>
          <w:b/>
          <w:bCs/>
          <w:sz w:val="24"/>
          <w:u w:val="single"/>
        </w:rPr>
      </w:pPr>
      <w:r>
        <w:rPr>
          <w:b/>
          <w:bCs/>
          <w:sz w:val="24"/>
          <w:u w:val="single"/>
        </w:rPr>
      </w:r>
      <w:r>
        <w:br w:type="page"/>
      </w:r>
    </w:p>
    <w:p>
      <w:pPr>
        <w:pStyle w:val="Normal"/>
        <w:jc w:val="both"/>
        <w:rPr>
          <w:b/>
          <w:bCs/>
          <w:sz w:val="24"/>
          <w:u w:val="single"/>
        </w:rPr>
      </w:pPr>
      <w:r>
        <w:rPr>
          <w:b/>
          <w:bCs/>
          <w:sz w:val="24"/>
          <w:u w:val="single"/>
        </w:rPr>
        <w:t>APPENDIX B1:  PHYSICAL AND FINANCIAL TRADING</w:t>
      </w:r>
    </w:p>
    <w:p>
      <w:pPr>
        <w:pStyle w:val="Normal"/>
        <w:jc w:val="both"/>
        <w:rPr>
          <w:b/>
          <w:bCs/>
          <w:sz w:val="24"/>
          <w:u w:val="single"/>
        </w:rPr>
      </w:pPr>
      <w:r>
        <w:rPr>
          <w:b/>
          <w:bCs/>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7"/>
        <w:ind w:start="60" w:end="0"/>
        <w:jc w:val="both"/>
        <w:rPr/>
      </w:pPr>
      <w:r>
        <w:rPr/>
        <w:t>MARKET CONDITIONS</w:t>
      </w:r>
    </w:p>
    <w:p>
      <w:pPr>
        <w:pStyle w:val="Heading7"/>
        <w:ind w:start="60" w:end="0"/>
        <w:jc w:val="both"/>
        <w:rPr/>
      </w:pPr>
      <w:r>
        <w:rPr/>
      </w:r>
    </w:p>
    <w:p>
      <w:pPr>
        <w:pStyle w:val="Normal"/>
        <w:jc w:val="both"/>
        <w:rPr>
          <w:sz w:val="24"/>
        </w:rPr>
      </w:pPr>
      <w:r>
        <w:rPr>
          <w:sz w:val="24"/>
        </w:rPr>
        <w:t xml:space="preserve"> </w:t>
      </w:r>
      <w:r>
        <w:rPr>
          <w:sz w:val="24"/>
        </w:rPr>
        <w:t>The Texas Intrastate market has seen significant changes in ownership among the major intrastate pipelines over the last two to three years.  Sellers have developed an “asset light” strategy and/or have been disappointed in the high cost structure and low earnings growth that these assets have provided.   Buyers have largely been companies that have had a long tradition in pipeline based business platforms.  The result of this transition has been to have a few monopolistic pipeline owners who have largely been resistant to an “open access” philosophy in favor of their own merchant activities.  The Texas Railroad Commission made a weak attempt to even the playing field for shippers three years ago when they implemented the “Code of Conduct”.  The intrastate pipelines have largely ignored the “Code of Conduct” and the Railroad Commission has made no movement towards enforcement since the rules are vague and open to interpretation.</w:t>
      </w:r>
    </w:p>
    <w:p>
      <w:pPr>
        <w:pStyle w:val="Normal"/>
        <w:jc w:val="both"/>
        <w:rPr>
          <w:sz w:val="24"/>
        </w:rPr>
      </w:pPr>
      <w:r>
        <w:rPr>
          <w:sz w:val="24"/>
        </w:rPr>
      </w:r>
    </w:p>
    <w:p>
      <w:pPr>
        <w:pStyle w:val="Normal"/>
        <w:jc w:val="both"/>
        <w:rPr>
          <w:sz w:val="24"/>
        </w:rPr>
      </w:pPr>
      <w:r>
        <w:rPr>
          <w:sz w:val="24"/>
        </w:rPr>
        <w:t>The Texas Intrastate gas market is 10 to 12 Bcf per day.  The electric generation segment has seen 5 to 7 % yearly growth to represent about 30% of the market but the industrial segment still dominates with 60% of the market share.  The physical market has been largely characterized by industrial and utility customers preferring to purchase bundled term gas services on a Houston Ship Channel index.  As a result the depth of the daily physical market is not as big as other regions of the country.</w:t>
      </w:r>
    </w:p>
    <w:p>
      <w:pPr>
        <w:pStyle w:val="Normal"/>
        <w:jc w:val="both"/>
        <w:rPr>
          <w:sz w:val="24"/>
        </w:rPr>
      </w:pPr>
      <w:r>
        <w:rPr>
          <w:sz w:val="24"/>
        </w:rPr>
      </w:r>
    </w:p>
    <w:p>
      <w:pPr>
        <w:pStyle w:val="Normal"/>
        <w:jc w:val="both"/>
        <w:rPr>
          <w:sz w:val="24"/>
        </w:rPr>
      </w:pPr>
      <w:r>
        <w:rPr>
          <w:sz w:val="24"/>
        </w:rPr>
        <w:t xml:space="preserve">At the time of the bankruptcy the Texas desk was gaining momentum from rebuilding our trading business and personnel from the June 2001 sale of HPL. </w:t>
      </w:r>
    </w:p>
    <w:p>
      <w:pPr>
        <w:pStyle w:val="Normal"/>
        <w:ind w:start="300" w:end="0"/>
        <w:rPr>
          <w:sz w:val="24"/>
        </w:rPr>
      </w:pPr>
      <w:r>
        <w:rPr>
          <w:sz w:val="24"/>
        </w:rPr>
      </w:r>
    </w:p>
    <w:p>
      <w:pPr>
        <w:pStyle w:val="Normal"/>
        <w:rPr>
          <w:sz w:val="24"/>
        </w:rPr>
      </w:pPr>
      <w:r>
        <w:rPr>
          <w:sz w:val="24"/>
        </w:rPr>
      </w:r>
    </w:p>
    <w:p>
      <w:pPr>
        <w:pStyle w:val="Heading6"/>
        <w:ind w:hanging="0" w:start="0"/>
        <w:rPr/>
      </w:pPr>
      <w:r>
        <w:rPr/>
        <w:t>COMPETITION</w:t>
      </w:r>
    </w:p>
    <w:p>
      <w:pPr>
        <w:pStyle w:val="Normal"/>
        <w:rPr>
          <w:sz w:val="24"/>
        </w:rPr>
      </w:pPr>
      <w:r>
        <w:rPr>
          <w:sz w:val="24"/>
        </w:rPr>
        <w:t>The Intercontinental Exchange has been a force in Texas primarily due to the support of  AEP and Aquilla who two of the larger players in the state.</w:t>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rPr>
          <w:b/>
          <w:sz w:val="24"/>
          <w:u w:val="single"/>
        </w:rPr>
      </w:pPr>
      <w:r>
        <w:rPr>
          <w:b/>
          <w:sz w:val="24"/>
          <w:u w:val="single"/>
        </w:rPr>
        <w:t>CHALLENGES:</w:t>
      </w:r>
    </w:p>
    <w:p>
      <w:pPr>
        <w:pStyle w:val="Normal"/>
        <w:rPr>
          <w:b/>
          <w:sz w:val="24"/>
          <w:u w:val="single"/>
        </w:rPr>
      </w:pPr>
      <w:r>
        <w:rPr>
          <w:b/>
          <w:sz w:val="24"/>
          <w:u w:val="single"/>
        </w:rPr>
      </w:r>
    </w:p>
    <w:p>
      <w:pPr>
        <w:pStyle w:val="Normal"/>
        <w:rPr>
          <w:sz w:val="24"/>
        </w:rPr>
      </w:pPr>
      <w:r>
        <w:rPr>
          <w:sz w:val="24"/>
        </w:rPr>
        <w:t>The challenge for the Texas desk, which is not unique, is overcoming the emotional fallout of being Enron one day and Netco the next.  The business reasons to trade with Netco are compelling but counterparties will need to overcome being burned by Enron in bankruptcy and then subsequently trading with the same people under a different name.</w:t>
      </w:r>
    </w:p>
    <w:p>
      <w:pPr>
        <w:pStyle w:val="Normal"/>
        <w:rPr>
          <w:sz w:val="24"/>
        </w:rPr>
      </w:pPr>
      <w:r>
        <w:rPr>
          <w:sz w:val="24"/>
        </w:rPr>
      </w:r>
    </w:p>
    <w:p>
      <w:pPr>
        <w:pStyle w:val="Normal"/>
        <w:rPr>
          <w:sz w:val="24"/>
        </w:rPr>
      </w:pPr>
      <w:r>
        <w:rPr>
          <w:sz w:val="24"/>
        </w:rPr>
        <w:t xml:space="preserve">We are also challenged to encourage regulatory change to “really” level the playing field on the pipeline grid that stimulate larger depth in trading counterparties.   </w:t>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OPPORTUNITIES:</w:t>
      </w:r>
    </w:p>
    <w:p>
      <w:pPr>
        <w:pStyle w:val="Normal"/>
        <w:rPr>
          <w:sz w:val="24"/>
        </w:rPr>
      </w:pPr>
      <w:r>
        <w:rPr>
          <w:sz w:val="24"/>
        </w:rPr>
        <w:t xml:space="preserve">Before bankruptcy the desk was working with some of the major plants in the state that are natural candidates to become trading hubs and we will rekindle those opportunities to try to provide the market more locations and more liquidity.  We also want to continue the lobbying effort conducted by Enron to the Railroad Commission to unbundled to transportation segment of the market again to reduce the barriers to enter the market and ultimately increasing liquidity and transparency.  </w:t>
      </w:r>
    </w:p>
    <w:p>
      <w:pPr>
        <w:pStyle w:val="BodyText"/>
        <w:jc w:val="both"/>
        <w:rPr>
          <w:sz w:val="24"/>
        </w:rPr>
      </w:pPr>
      <w:r>
        <w:rPr>
          <w:sz w:val="24"/>
        </w:rPr>
      </w:r>
    </w:p>
    <w:p>
      <w:pPr>
        <w:pStyle w:val="BodyText"/>
        <w:jc w:val="both"/>
        <w:rPr/>
      </w:pPr>
      <w:r>
        <w:rPr/>
      </w:r>
      <w:r>
        <w:br w:type="page"/>
      </w:r>
    </w:p>
    <w:p>
      <w:pPr>
        <w:pStyle w:val="Normal"/>
        <w:jc w:val="both"/>
        <w:rPr>
          <w:b/>
          <w:bCs/>
          <w:sz w:val="24"/>
          <w:u w:val="single"/>
        </w:rPr>
      </w:pPr>
      <w:r>
        <w:rPr>
          <w:b/>
          <w:bCs/>
          <w:sz w:val="24"/>
          <w:u w:val="single"/>
        </w:rPr>
        <w:t>APPENDIX B2:  FINANCIAL TRADING</w:t>
      </w:r>
    </w:p>
    <w:p>
      <w:pPr>
        <w:pStyle w:val="Normal"/>
        <w:jc w:val="both"/>
        <w:rPr>
          <w:b/>
          <w:bCs/>
          <w:sz w:val="24"/>
          <w:u w:val="single"/>
        </w:rPr>
      </w:pPr>
      <w:r>
        <w:rPr>
          <w:b/>
          <w:bCs/>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7"/>
        <w:ind w:start="60" w:end="0"/>
        <w:jc w:val="both"/>
        <w:rPr/>
      </w:pPr>
      <w:r>
        <w:rPr/>
        <w:t>MARKET CONDITIONS</w:t>
      </w:r>
    </w:p>
    <w:p>
      <w:pPr>
        <w:pStyle w:val="Normal"/>
        <w:jc w:val="both"/>
        <w:rPr/>
      </w:pPr>
      <w:r>
        <w:rPr/>
      </w:r>
    </w:p>
    <w:p>
      <w:pPr>
        <w:pStyle w:val="Normal"/>
        <w:jc w:val="both"/>
        <w:rPr>
          <w:sz w:val="24"/>
        </w:rPr>
      </w:pPr>
      <w:r>
        <w:rPr>
          <w:sz w:val="24"/>
        </w:rPr>
        <w:t xml:space="preserve"> </w:t>
      </w:r>
    </w:p>
    <w:p>
      <w:pPr>
        <w:pStyle w:val="Normal"/>
        <w:ind w:start="300" w:end="0"/>
        <w:rPr>
          <w:sz w:val="24"/>
        </w:rPr>
      </w:pPr>
      <w:r>
        <w:rPr>
          <w:sz w:val="24"/>
        </w:rPr>
      </w:r>
    </w:p>
    <w:p>
      <w:pPr>
        <w:pStyle w:val="Normal"/>
        <w:rPr>
          <w:sz w:val="24"/>
        </w:rPr>
      </w:pPr>
      <w:r>
        <w:rPr>
          <w:sz w:val="24"/>
        </w:rPr>
      </w:r>
    </w:p>
    <w:p>
      <w:pPr>
        <w:pStyle w:val="Heading6"/>
        <w:ind w:hanging="0" w:start="0"/>
        <w:rPr/>
      </w:pPr>
      <w:r>
        <w:rPr/>
        <w:t>COMPETITION</w:t>
      </w:r>
    </w:p>
    <w:p>
      <w:pPr>
        <w:pStyle w:val="Normal"/>
        <w:rPr/>
      </w:pPr>
      <w:r>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rPr>
          <w:b/>
          <w:sz w:val="24"/>
          <w:u w:val="single"/>
        </w:rPr>
      </w:pPr>
      <w:r>
        <w:rPr>
          <w:b/>
          <w:sz w:val="24"/>
          <w:u w:val="single"/>
        </w:rPr>
        <w:t>CHALLENGES:</w:t>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OPPORTUNITIES:</w:t>
      </w:r>
    </w:p>
    <w:p>
      <w:pPr>
        <w:pStyle w:val="Normal"/>
        <w:rPr>
          <w:b/>
          <w:sz w:val="24"/>
          <w:u w:val="single"/>
        </w:rPr>
      </w:pPr>
      <w:r>
        <w:rPr>
          <w:b/>
          <w:sz w:val="24"/>
          <w:u w:val="single"/>
        </w:rPr>
      </w:r>
    </w:p>
    <w:p>
      <w:pPr>
        <w:pStyle w:val="BodyText"/>
        <w:jc w:val="both"/>
        <w:rPr>
          <w:sz w:val="24"/>
        </w:rPr>
      </w:pPr>
      <w:r>
        <w:rPr>
          <w:sz w:val="24"/>
        </w:rPr>
      </w:r>
    </w:p>
    <w:p>
      <w:pPr>
        <w:pStyle w:val="BodyText"/>
        <w:jc w:val="both"/>
        <w:rPr/>
      </w:pPr>
      <w:r>
        <w:rPr/>
      </w:r>
    </w:p>
    <w:p>
      <w:pPr>
        <w:pStyle w:val="BodyTextIndent"/>
        <w:rPr/>
      </w:pPr>
      <w:r>
        <w:rPr/>
      </w:r>
    </w:p>
    <w:p>
      <w:pPr>
        <w:pStyle w:val="BodyTextIndent"/>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outlineLvl w:val="3"/>
    </w:pPr>
    <w:rPr>
      <w:sz w:val="24"/>
      <w:u w:val="single"/>
    </w:rPr>
  </w:style>
  <w:style w:type="paragraph" w:styleId="Heading5">
    <w:name w:val="heading 5"/>
    <w:basedOn w:val="Normal"/>
    <w:next w:val="Normal"/>
    <w:qFormat/>
    <w:pPr>
      <w:keepNext w:val="true"/>
      <w:numPr>
        <w:ilvl w:val="4"/>
        <w:numId w:val="1"/>
      </w:numPr>
      <w:ind w:hanging="0" w:start="720" w:end="0"/>
      <w:outlineLvl w:val="4"/>
    </w:pPr>
    <w:rPr>
      <w:sz w:val="24"/>
      <w:u w:val="single"/>
    </w:rPr>
  </w:style>
  <w:style w:type="paragraph" w:styleId="Heading6">
    <w:name w:val="heading 6"/>
    <w:basedOn w:val="Normal"/>
    <w:next w:val="Normal"/>
    <w:qFormat/>
    <w:pPr>
      <w:keepNext w:val="true"/>
      <w:numPr>
        <w:ilvl w:val="5"/>
        <w:numId w:val="1"/>
      </w:numPr>
      <w:outlineLvl w:val="5"/>
    </w:pPr>
    <w:rPr>
      <w:b/>
      <w:sz w:val="24"/>
      <w:u w:val="single"/>
    </w:rPr>
  </w:style>
  <w:style w:type="paragraph" w:styleId="Heading7">
    <w:name w:val="heading 7"/>
    <w:basedOn w:val="Normal"/>
    <w:next w:val="Normal"/>
    <w:qFormat/>
    <w:pPr>
      <w:keepNext w:val="true"/>
      <w:numPr>
        <w:ilvl w:val="6"/>
        <w:numId w:val="1"/>
      </w:numPr>
      <w:ind w:hanging="0" w:start="360" w:end="0"/>
      <w:outlineLvl w:val="6"/>
    </w:pPr>
    <w:rPr>
      <w:b/>
      <w:sz w:val="24"/>
      <w:u w:val="single"/>
    </w:rPr>
  </w:style>
  <w:style w:type="paragraph" w:styleId="Heading8">
    <w:name w:val="heading 8"/>
    <w:basedOn w:val="Normal"/>
    <w:next w:val="Normal"/>
    <w:qFormat/>
    <w:pPr>
      <w:keepNext w:val="true"/>
      <w:numPr>
        <w:ilvl w:val="7"/>
        <w:numId w:val="1"/>
      </w:numPr>
      <w:jc w:val="center"/>
      <w:outlineLvl w:val="7"/>
    </w:pPr>
    <w:rPr>
      <w:b/>
      <w:sz w:val="24"/>
    </w:rPr>
  </w:style>
  <w:style w:type="paragraph" w:styleId="Heading9">
    <w:name w:val="heading 9"/>
    <w:basedOn w:val="Normal"/>
    <w:next w:val="Normal"/>
    <w:qFormat/>
    <w:pPr>
      <w:keepNext w:val="true"/>
      <w:numPr>
        <w:ilvl w:val="8"/>
        <w:numId w:val="1"/>
      </w:numPr>
      <w:ind w:hanging="0" w:start="360" w:end="0"/>
      <w:outlineLvl w:val="8"/>
    </w:pPr>
    <w:rPr>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6z0">
    <w:name w:val="WW8Num26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2z0">
    <w:name w:val="WW8Num42z0"/>
    <w:qFormat/>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Symbol" w:hAnsi="Symbol" w:cs="Symbol"/>
    </w:rPr>
  </w:style>
  <w:style w:type="character" w:styleId="WW8Num50z0">
    <w:name w:val="WW8Num50z0"/>
    <w:qFormat/>
    <w:rPr/>
  </w:style>
  <w:style w:type="character" w:styleId="WW8Num50z1">
    <w:name w:val="WW8Num50z1"/>
    <w:qFormat/>
    <w:rPr>
      <w:rFonts w:ascii="Times New Roman" w:hAnsi="Times New Roman" w:eastAsia="Times New Roman" w:cs="Times New Roman"/>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style>
  <w:style w:type="character" w:styleId="WW8Num57z0">
    <w:name w:val="WW8Num57z0"/>
    <w:qFormat/>
    <w:rPr>
      <w:rFonts w:ascii="Wingdings" w:hAnsi="Wingdings" w:cs="Wingdings"/>
    </w:rPr>
  </w:style>
  <w:style w:type="character" w:styleId="WW8Num58z0">
    <w:name w:val="WW8Num58z0"/>
    <w:qFormat/>
    <w:rPr/>
  </w:style>
  <w:style w:type="character" w:styleId="WW8Num60z0">
    <w:name w:val="WW8Num60z0"/>
    <w:qFormat/>
    <w:rPr>
      <w:rFonts w:ascii="Wingdings" w:hAnsi="Wingdings" w:cs="Wingdings"/>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Wingdings" w:hAnsi="Wingdings" w:cs="Wingdings"/>
    </w:rPr>
  </w:style>
  <w:style w:type="character" w:styleId="WW8Num69z0">
    <w:name w:val="WW8Num69z0"/>
    <w:qFormat/>
    <w:rPr/>
  </w:style>
  <w:style w:type="character" w:styleId="WW8Num69z1">
    <w:name w:val="WW8Num69z1"/>
    <w:qFormat/>
    <w:rPr>
      <w:rFonts w:ascii="Symbol" w:hAnsi="Symbol" w:cs="Symbol"/>
    </w:rPr>
  </w:style>
  <w:style w:type="character" w:styleId="WW8Num71z0">
    <w:name w:val="WW8Num71z0"/>
    <w:qFormat/>
    <w:rPr/>
  </w:style>
  <w:style w:type="character" w:styleId="WW8Num72z0">
    <w:name w:val="WW8Num72z0"/>
    <w:qFormat/>
    <w:rPr>
      <w:rFonts w:ascii="Wingdings" w:hAnsi="Wingdings" w:cs="Wingdings"/>
    </w:rPr>
  </w:style>
  <w:style w:type="character" w:styleId="WW8Num73z0">
    <w:name w:val="WW8Num7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4"/>
      <w:u w:val="single"/>
    </w:rPr>
  </w:style>
  <w:style w:type="paragraph" w:styleId="BodyTextIndent">
    <w:name w:val="Body Text Indent"/>
    <w:basedOn w:val="Normal"/>
    <w:pPr>
      <w:ind w:hanging="0" w:start="360" w:end="0"/>
    </w:pPr>
    <w:rPr>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BodyTextIndent2">
    <w:name w:val="Body Text Indent 2"/>
    <w:basedOn w:val="Normal"/>
    <w:qFormat/>
    <w:pPr>
      <w:ind w:hanging="360" w:start="720" w:end="0"/>
      <w:jc w:val="both"/>
    </w:pPr>
    <w:rPr>
      <w:sz w:val="24"/>
    </w:rPr>
  </w:style>
  <w:style w:type="paragraph" w:styleId="BodyTextIndent3">
    <w:name w:val="Body Text Indent 3"/>
    <w:basedOn w:val="Normal"/>
    <w:qFormat/>
    <w:pPr>
      <w:ind w:hanging="3240" w:start="3600" w:end="0"/>
    </w:pPr>
    <w:rPr>
      <w:sz w:val="24"/>
    </w:rPr>
  </w:style>
  <w:style w:type="paragraph" w:styleId="xl25">
    <w:name w:val="xl25"/>
    <w:basedOn w:val="Normal"/>
    <w:qFormat/>
    <w:pPr>
      <w:shd w:fill="FFFFFF" w:val="clear"/>
      <w:spacing w:before="100" w:after="100"/>
    </w:pPr>
    <w:rPr>
      <w:rFonts w:ascii="Arial Unicode MS" w:hAnsi="Arial Unicode MS" w:eastAsia="Arial Unicode MS" w:cs="Arial Unicode MS"/>
      <w:sz w:val="24"/>
      <w:szCs w:val="24"/>
    </w:rPr>
  </w:style>
  <w:style w:type="paragraph" w:styleId="xl26">
    <w:name w:val="xl26"/>
    <w:basedOn w:val="Normal"/>
    <w:qFormat/>
    <w:pPr>
      <w:pBdr>
        <w:top w:val="single" w:sz="8" w:space="0" w:color="000000"/>
        <w:right w:val="single" w:sz="8" w:space="0" w:color="000000"/>
      </w:pBdr>
      <w:shd w:fill="FFFFFF" w:val="clear"/>
      <w:spacing w:before="100" w:after="100"/>
      <w:jc w:val="center"/>
    </w:pPr>
    <w:rPr>
      <w:rFonts w:ascii="Arial Unicode MS" w:hAnsi="Arial Unicode MS" w:eastAsia="Arial Unicode MS" w:cs="Arial Unicode MS"/>
      <w:sz w:val="24"/>
      <w:szCs w:val="24"/>
    </w:rPr>
  </w:style>
  <w:style w:type="paragraph" w:styleId="xl27">
    <w:name w:val="xl27"/>
    <w:basedOn w:val="Normal"/>
    <w:qFormat/>
    <w:pPr>
      <w:pBdr>
        <w:right w:val="single" w:sz="8" w:space="0" w:color="000000"/>
      </w:pBdr>
      <w:shd w:fill="FFFFFF" w:val="clear"/>
      <w:spacing w:before="100" w:after="100"/>
      <w:jc w:val="center"/>
    </w:pPr>
    <w:rPr>
      <w:rFonts w:ascii="Arial Unicode MS" w:hAnsi="Arial Unicode MS" w:eastAsia="Arial Unicode MS" w:cs="Arial Unicode MS"/>
      <w:sz w:val="24"/>
      <w:szCs w:val="24"/>
    </w:rPr>
  </w:style>
  <w:style w:type="paragraph" w:styleId="xl28">
    <w:name w:val="xl28"/>
    <w:basedOn w:val="Normal"/>
    <w:qFormat/>
    <w:pPr>
      <w:pBdr>
        <w:bottom w:val="single" w:sz="8" w:space="0" w:color="000000"/>
      </w:pBdr>
      <w:shd w:fill="FFFFFF" w:val="clear"/>
      <w:spacing w:before="100" w:after="100"/>
    </w:pPr>
    <w:rPr>
      <w:rFonts w:ascii="Arial Unicode MS" w:hAnsi="Arial Unicode MS" w:eastAsia="Arial Unicode MS" w:cs="Arial Unicode MS"/>
      <w:sz w:val="24"/>
      <w:szCs w:val="24"/>
    </w:rPr>
  </w:style>
  <w:style w:type="paragraph" w:styleId="xl29">
    <w:name w:val="xl29"/>
    <w:basedOn w:val="Normal"/>
    <w:qFormat/>
    <w:pPr>
      <w:pBdr>
        <w:bottom w:val="single" w:sz="8" w:space="0" w:color="000000"/>
        <w:right w:val="single" w:sz="8" w:space="0" w:color="000000"/>
      </w:pBdr>
      <w:shd w:fill="FFFFFF" w:val="clear"/>
      <w:spacing w:before="100" w:after="100"/>
      <w:jc w:val="center"/>
    </w:pPr>
    <w:rPr>
      <w:rFonts w:ascii="Arial Unicode MS" w:hAnsi="Arial Unicode MS" w:eastAsia="Arial Unicode MS" w:cs="Arial Unicode MS"/>
      <w:sz w:val="24"/>
      <w:szCs w:val="24"/>
    </w:rPr>
  </w:style>
  <w:style w:type="paragraph" w:styleId="xl30">
    <w:name w:val="xl30"/>
    <w:basedOn w:val="Normal"/>
    <w:qFormat/>
    <w:pPr>
      <w:pBdr>
        <w:top w:val="single" w:sz="8" w:space="0" w:color="000000"/>
        <w:left w:val="single" w:sz="8" w:space="0" w:color="000000"/>
        <w:right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1">
    <w:name w:val="xl31"/>
    <w:basedOn w:val="Normal"/>
    <w:qFormat/>
    <w:pPr>
      <w:pBdr>
        <w:left w:val="single" w:sz="8" w:space="0" w:color="000000"/>
        <w:right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2">
    <w:name w:val="xl32"/>
    <w:basedOn w:val="Normal"/>
    <w:qFormat/>
    <w:pPr>
      <w:pBdr>
        <w:left w:val="single" w:sz="8" w:space="0" w:color="000000"/>
        <w:bottom w:val="single" w:sz="8" w:space="0" w:color="000000"/>
        <w:right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3">
    <w:name w:val="xl33"/>
    <w:basedOn w:val="Normal"/>
    <w:qFormat/>
    <w:pPr>
      <w:pBdr>
        <w:top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4">
    <w:name w:val="xl34"/>
    <w:basedOn w:val="Normal"/>
    <w:qFormat/>
    <w:pPr>
      <w:shd w:fill="FFFFFF" w:val="clear"/>
      <w:spacing w:before="100" w:after="100"/>
    </w:pPr>
    <w:rPr>
      <w:rFonts w:ascii="Arial Unicode MS" w:hAnsi="Arial Unicode MS" w:eastAsia="Arial Unicode MS" w:cs="Arial Unicode MS"/>
      <w:sz w:val="24"/>
      <w:szCs w:val="24"/>
    </w:rPr>
  </w:style>
  <w:style w:type="paragraph" w:styleId="xl35">
    <w:name w:val="xl35"/>
    <w:basedOn w:val="Normal"/>
    <w:qFormat/>
    <w:pPr>
      <w:pBdr>
        <w:left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6">
    <w:name w:val="xl36"/>
    <w:basedOn w:val="Normal"/>
    <w:qFormat/>
    <w:pPr>
      <w:pBdr>
        <w:top w:val="single" w:sz="8" w:space="0" w:color="000000"/>
        <w:left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7">
    <w:name w:val="xl37"/>
    <w:basedOn w:val="Normal"/>
    <w:qFormat/>
    <w:pPr>
      <w:pBdr>
        <w:left w:val="single" w:sz="8" w:space="0" w:color="000000"/>
        <w:bottom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8">
    <w:name w:val="xl38"/>
    <w:basedOn w:val="Normal"/>
    <w:qFormat/>
    <w:pPr>
      <w:pBdr>
        <w:top w:val="single" w:sz="8" w:space="0" w:color="000000"/>
        <w:left w:val="single" w:sz="8" w:space="0" w:color="000000"/>
      </w:pBdr>
      <w:shd w:fill="FFFF99" w:val="clear"/>
      <w:spacing w:before="100" w:after="100"/>
    </w:pPr>
    <w:rPr>
      <w:rFonts w:ascii="Arial" w:hAnsi="Arial" w:eastAsia="Arial Unicode MS" w:cs="Arial"/>
      <w:b/>
      <w:bCs/>
      <w:sz w:val="24"/>
      <w:szCs w:val="24"/>
    </w:rPr>
  </w:style>
  <w:style w:type="paragraph" w:styleId="xl39">
    <w:name w:val="xl39"/>
    <w:basedOn w:val="Normal"/>
    <w:qFormat/>
    <w:pPr>
      <w:pBdr>
        <w:top w:val="single" w:sz="8" w:space="0" w:color="000000"/>
      </w:pBdr>
      <w:shd w:fill="FFFF99" w:val="clear"/>
      <w:spacing w:before="100" w:after="100"/>
    </w:pPr>
    <w:rPr>
      <w:rFonts w:ascii="Arial" w:hAnsi="Arial" w:eastAsia="Arial Unicode MS" w:cs="Arial"/>
      <w:b/>
      <w:bCs/>
      <w:sz w:val="24"/>
      <w:szCs w:val="24"/>
    </w:rPr>
  </w:style>
  <w:style w:type="paragraph" w:styleId="xl40">
    <w:name w:val="xl40"/>
    <w:basedOn w:val="Normal"/>
    <w:qFormat/>
    <w:pPr>
      <w:pBdr>
        <w:top w:val="single" w:sz="8" w:space="0" w:color="000000"/>
        <w:right w:val="single" w:sz="8" w:space="0" w:color="000000"/>
      </w:pBdr>
      <w:shd w:fill="FFFF99" w:val="clear"/>
      <w:spacing w:before="100" w:after="100"/>
      <w:jc w:val="center"/>
    </w:pPr>
    <w:rPr>
      <w:rFonts w:ascii="Arial" w:hAnsi="Arial" w:eastAsia="Arial Unicode MS" w:cs="Arial"/>
      <w:b/>
      <w:bCs/>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2002-01-04T19:48:00Z</dcterms:created>
  <dc:creator>alopez</dc:creator>
  <dc:description/>
  <dc:language>en-CA</dc:language>
  <cp:lastModifiedBy>tmartin</cp:lastModifiedBy>
  <cp:lastPrinted>2002-01-02T18:54:00Z</cp:lastPrinted>
  <dcterms:modified xsi:type="dcterms:W3CDTF">2002-01-04T19:48:00Z</dcterms:modified>
  <cp:revision>2</cp:revision>
  <dc:subject/>
  <dc:title>HOUSTON PIPELINE COMPANY</dc:title>
</cp:coreProperties>
</file>