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October 16, 2001 </w:t>
      </w:r>
    </w:p>
    <w:p>
      <w:pPr>
        <w:pStyle w:val="Normal"/>
        <w:rPr/>
      </w:pPr>
      <w:r>
        <w:rPr/>
      </w:r>
    </w:p>
    <w:p>
      <w:pPr>
        <w:pStyle w:val="Normal"/>
        <w:rPr/>
      </w:pPr>
      <w:r>
        <w:rPr/>
        <w:t>Outline of CPUC concerns regarding Transwestern’s initial settlement offer:</w:t>
      </w:r>
    </w:p>
    <w:p>
      <w:pPr>
        <w:pStyle w:val="Normal"/>
        <w:rPr/>
      </w:pPr>
      <w:r>
        <w:rPr/>
      </w:r>
    </w:p>
    <w:p>
      <w:pPr>
        <w:pStyle w:val="Normal"/>
        <w:rPr/>
      </w:pPr>
      <w:r>
        <w:rPr/>
      </w:r>
    </w:p>
    <w:p>
      <w:pPr>
        <w:pStyle w:val="Normal"/>
        <w:numPr>
          <w:ilvl w:val="0"/>
          <w:numId w:val="1"/>
        </w:numPr>
        <w:rPr>
          <w:u w:val="single"/>
        </w:rPr>
      </w:pPr>
      <w:r>
        <w:rPr>
          <w:u w:val="single"/>
        </w:rPr>
        <w:t>Tariff provisions regarding operational capacity:</w:t>
      </w:r>
    </w:p>
    <w:p>
      <w:pPr>
        <w:pStyle w:val="Normal"/>
        <w:ind w:start="360" w:end="0"/>
        <w:rPr>
          <w:u w:val="single"/>
        </w:rPr>
      </w:pPr>
      <w:r>
        <w:rPr>
          <w:u w:val="single"/>
        </w:rPr>
        <w:t xml:space="preserve"> </w:t>
      </w:r>
    </w:p>
    <w:p>
      <w:pPr>
        <w:pStyle w:val="Normal"/>
        <w:numPr>
          <w:ilvl w:val="0"/>
          <w:numId w:val="2"/>
        </w:numPr>
        <w:rPr/>
      </w:pPr>
      <w:r>
        <w:rPr/>
        <w:t xml:space="preserve">Does not contain sufficiently detailed description of “operational capacity.”  Should be distinguished from other types of capacity, including unsubscribed capacity. Specific sources of “operational capacity” should be explicitly stated.     </w:t>
      </w:r>
    </w:p>
    <w:p>
      <w:pPr>
        <w:pStyle w:val="Normal"/>
        <w:ind w:start="360" w:end="0"/>
        <w:rPr/>
      </w:pPr>
      <w:r>
        <w:rPr/>
      </w:r>
    </w:p>
    <w:p>
      <w:pPr>
        <w:pStyle w:val="Normal"/>
        <w:ind w:start="720" w:end="0"/>
        <w:rPr/>
      </w:pPr>
      <w:r>
        <w:rPr/>
        <w:t xml:space="preserve">With respect to the proposed definition of operational capacity at the bottom of page 2 of your October 12, 2001 letter, the use of the phrase “such as” removes any limiting feature that would define and distinguish operational capacity from any other type of capacity.   Because use of  “such as” indicates Transwestern’s operational capacity is derived from sources other than lower winter ambient temperatures and related compressor efficiencies, we would suggest a more specific definition, </w:t>
      </w:r>
      <w:r>
        <w:rPr>
          <w:u w:val="single"/>
        </w:rPr>
        <w:t>naming all</w:t>
      </w:r>
      <w:r>
        <w:rPr/>
        <w:t xml:space="preserve"> the sources of capacity Transwestern uses for “operational capacity.”  If Transwestern uses unscheduled firm capacity of other subscribers, or capacity held for firm service reliability  (with the amount of such firm service reliability held specifically identified in related tariff sheets), those sources should be identified.</w:t>
      </w:r>
    </w:p>
    <w:p>
      <w:pPr>
        <w:pStyle w:val="Normal"/>
        <w:ind w:start="360" w:end="0"/>
        <w:rPr/>
      </w:pPr>
      <w:r>
        <w:rPr/>
      </w:r>
    </w:p>
    <w:p>
      <w:pPr>
        <w:pStyle w:val="Normal"/>
        <w:numPr>
          <w:ilvl w:val="0"/>
          <w:numId w:val="2"/>
        </w:numPr>
        <w:rPr/>
      </w:pPr>
      <w:r>
        <w:rPr/>
        <w:t xml:space="preserve">Does not contain sufficiently detailed description of the kind of service available for “operational capacity.”  Are all services available? Which services are not available?  How can capacity available only when ambient temperatures reach a certain point be guaranteed for firm service?  How can Transwestern guarantee firm service for capacity that exceeds its design capabilities, including receipt and delivery points design capabilities?  What kind of capacity is sold as interruptible service? </w:t>
      </w:r>
    </w:p>
    <w:p>
      <w:pPr>
        <w:pStyle w:val="Normal"/>
        <w:ind w:start="360" w:end="0"/>
        <w:rPr/>
      </w:pPr>
      <w:r>
        <w:rPr/>
        <w:t xml:space="preserve"> </w:t>
      </w:r>
    </w:p>
    <w:p>
      <w:pPr>
        <w:pStyle w:val="Normal"/>
        <w:numPr>
          <w:ilvl w:val="0"/>
          <w:numId w:val="2"/>
        </w:numPr>
        <w:rPr/>
      </w:pPr>
      <w:r>
        <w:rPr/>
        <w:t xml:space="preserve">Does not contain sufficiently detailed description of the kind of rates that Transwestern will consider for “operational capacity” given the nature of the sources of the capacity?  For example, will operational capacity always be sold at a one-part rate? without a reservation charge? with only a usage charge? With roll-over rights?  </w:t>
      </w:r>
    </w:p>
    <w:p>
      <w:pPr>
        <w:pStyle w:val="Normal"/>
        <w:ind w:start="360" w:end="0"/>
        <w:rPr/>
      </w:pPr>
      <w:r>
        <w:rPr/>
      </w:r>
    </w:p>
    <w:p>
      <w:pPr>
        <w:pStyle w:val="Normal"/>
        <w:numPr>
          <w:ilvl w:val="0"/>
          <w:numId w:val="2"/>
        </w:numPr>
        <w:rPr/>
      </w:pPr>
      <w:r>
        <w:rPr/>
        <w:t>Does not indicate specifically how Transwestern will assure that its recourse rate is always available for all services and for all capacity, including operational capacity, how and when the shipper is notified of the availability of the capacity requested at the recourse rate.</w:t>
      </w:r>
    </w:p>
    <w:p>
      <w:pPr>
        <w:pStyle w:val="Normal"/>
        <w:ind w:start="360" w:end="0"/>
        <w:rPr/>
      </w:pPr>
      <w:r>
        <w:rPr/>
      </w:r>
    </w:p>
    <w:p>
      <w:pPr>
        <w:pStyle w:val="Normal"/>
        <w:numPr>
          <w:ilvl w:val="0"/>
          <w:numId w:val="2"/>
        </w:numPr>
        <w:rPr/>
      </w:pPr>
      <w:r>
        <w:rPr/>
        <w:t xml:space="preserve">Does not clearly explain how competing bids are evaluated when recourse rates and negotiated rates are bid for the same capacity.  FERC’s adamant requirement that the recourse rate be actually available as a real, </w:t>
      </w:r>
      <w:r>
        <w:rPr>
          <w:u w:val="single"/>
        </w:rPr>
        <w:t>viable</w:t>
      </w:r>
      <w:r>
        <w:rPr/>
        <w:t xml:space="preserve"> alternative to shippers would require that available capacity, including operational capacity,  be prorated </w:t>
      </w:r>
      <w:r>
        <w:rPr>
          <w:u w:val="single"/>
        </w:rPr>
        <w:t>first</w:t>
      </w:r>
      <w:r>
        <w:rPr/>
        <w:t xml:space="preserve"> to meet the requests of shippers who opt for the recourse rate.  Any remaining available capacity could then be allocated among the shippers bidding negotiated rates (assuming they are other than a fixed rate below the recourse rate).  Unless shippers who bid the recourse rate can obtain the capacity they want without having to also bid a negotiated rate, the FERC’s justification and rationale for permitting negotiated rates is eviscerated. It is also not clear that FERC policy would permit the NPV of a negotiated rate that is based on future price factors to be evaluated according to factors available at the time of evaluating bids.</w:t>
      </w:r>
    </w:p>
    <w:p>
      <w:pPr>
        <w:pStyle w:val="Normal"/>
        <w:rPr/>
      </w:pPr>
      <w:r>
        <w:rPr/>
        <w:t xml:space="preserve"> </w:t>
      </w:r>
    </w:p>
    <w:p>
      <w:pPr>
        <w:pStyle w:val="Normal"/>
        <w:numPr>
          <w:ilvl w:val="0"/>
          <w:numId w:val="2"/>
        </w:numPr>
        <w:rPr/>
      </w:pPr>
      <w:r>
        <w:rPr/>
        <w:t xml:space="preserve">Does not indicate the kind of service and rates to which roll-over rights will be available or will not be available. </w:t>
      </w:r>
    </w:p>
    <w:p>
      <w:pPr>
        <w:pStyle w:val="Normal"/>
        <w:rPr/>
      </w:pPr>
      <w:r>
        <w:rPr/>
      </w:r>
    </w:p>
    <w:p>
      <w:pPr>
        <w:pStyle w:val="Normal"/>
        <w:rPr/>
      </w:pPr>
      <w:r>
        <w:rPr/>
        <w:t xml:space="preserve">B. </w:t>
      </w:r>
      <w:r>
        <w:rPr>
          <w:u w:val="single"/>
        </w:rPr>
        <w:t>Tariff Provisions for Negotiated Rates</w:t>
      </w:r>
    </w:p>
    <w:p>
      <w:pPr>
        <w:pStyle w:val="Normal"/>
        <w:rPr>
          <w:u w:val="single"/>
        </w:rPr>
      </w:pPr>
      <w:r>
        <w:rPr>
          <w:u w:val="single"/>
        </w:rPr>
        <w:t xml:space="preserve"> </w:t>
      </w:r>
    </w:p>
    <w:p>
      <w:pPr>
        <w:pStyle w:val="Normal"/>
        <w:ind w:end="-180"/>
        <w:rPr/>
      </w:pPr>
      <w:r>
        <w:rPr/>
        <w:t xml:space="preserve">            </w:t>
      </w:r>
      <w:r>
        <w:rPr/>
        <w:t xml:space="preserve">The definition of the term “negotiated rate” as proposed on page 2 of your October  </w:t>
      </w:r>
    </w:p>
    <w:p>
      <w:pPr>
        <w:pStyle w:val="BodyTextIndent"/>
        <w:rPr/>
      </w:pPr>
      <w:r>
        <w:rPr/>
        <w:t xml:space="preserve">12, 2001 letter does not distinguish it from a market rate or from a market-based rate.  Because Transwestern is not authorized to use market rates or market-based rates for transportation rates, the distinction should be specifically explained and perhaps illustrated in the tariff so that shippers understand the available bid alternatives. </w:t>
      </w:r>
    </w:p>
    <w:p>
      <w:pPr>
        <w:pStyle w:val="Normal"/>
        <w:rPr/>
      </w:pPr>
      <w:r>
        <w:rPr/>
      </w:r>
    </w:p>
    <w:p>
      <w:pPr>
        <w:pStyle w:val="Normal"/>
        <w:rPr/>
      </w:pPr>
      <w:r>
        <w:rPr/>
        <w:t xml:space="preserve">       </w:t>
      </w:r>
      <w:r>
        <w:rPr/>
        <w:t>Also, after reviewing the references offered in support of TW’s claim that the FERC has established precedent for allowing natural gas market indices differentials to be used in negotiated transportation rates, we do not believe that precedent is in fact established or legally binding.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68"/>
        </w:tabs>
        <w:ind w:start="768" w:hanging="408"/>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1">
    <w:name w:val="WW8Num2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2001-10-15T19:51:00Z</dcterms:created>
  <dc:creator>Ida Passamonti</dc:creator>
  <dc:description/>
  <dc:language>en-CA</dc:language>
  <cp:lastModifiedBy>Preferred Customer</cp:lastModifiedBy>
  <dcterms:modified xsi:type="dcterms:W3CDTF">2001-10-17T19:08:00Z</dcterms:modified>
  <cp:revision>9</cp:revision>
  <dc:subject/>
  <dc:title>For response to TW’s settlement offer:</dc:title>
</cp:coreProperties>
</file>