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b/>
          <w:sz w:val="24"/>
          <w:u w:val="single"/>
        </w:rPr>
        <w:t>PROMISSORY NOTE</w:t>
      </w:r>
    </w:p>
    <w:p>
      <w:pPr>
        <w:pStyle w:val="Normal"/>
        <w:jc w:val="center"/>
        <w:rPr>
          <w:sz w:val="24"/>
        </w:rPr>
      </w:pPr>
      <w:r>
        <w:rPr>
          <w:sz w:val="24"/>
        </w:rPr>
      </w:r>
    </w:p>
    <w:tbl>
      <w:tblPr>
        <w:tblW w:w="9468" w:type="dxa"/>
        <w:jc w:val="start"/>
        <w:tblInd w:w="0" w:type="dxa"/>
        <w:tblLayout w:type="fixed"/>
        <w:tblCellMar>
          <w:top w:w="0" w:type="dxa"/>
          <w:start w:w="108" w:type="dxa"/>
          <w:bottom w:w="0" w:type="dxa"/>
          <w:end w:w="108" w:type="dxa"/>
        </w:tblCellMar>
      </w:tblPr>
      <w:tblGrid>
        <w:gridCol w:w="4428"/>
        <w:gridCol w:w="5040"/>
      </w:tblGrid>
      <w:tr>
        <w:trPr/>
        <w:tc>
          <w:tcPr>
            <w:tcW w:w="4428" w:type="dxa"/>
            <w:tcBorders/>
          </w:tcPr>
          <w:p>
            <w:pPr>
              <w:pStyle w:val="Normal"/>
              <w:jc w:val="both"/>
              <w:rPr>
                <w:sz w:val="24"/>
              </w:rPr>
            </w:pPr>
            <w:r>
              <w:rPr>
                <w:sz w:val="24"/>
              </w:rPr>
              <w:t>$150,000,000.00</w:t>
            </w:r>
          </w:p>
        </w:tc>
        <w:tc>
          <w:tcPr>
            <w:tcW w:w="5040" w:type="dxa"/>
            <w:tcBorders/>
          </w:tcPr>
          <w:p>
            <w:pPr>
              <w:pStyle w:val="Normal"/>
              <w:jc w:val="end"/>
              <w:rPr>
                <w:sz w:val="24"/>
              </w:rPr>
            </w:pPr>
            <w:r>
              <w:rPr>
                <w:sz w:val="24"/>
              </w:rPr>
              <w:t>March 31, 2000</w:t>
            </w:r>
          </w:p>
        </w:tc>
      </w:tr>
    </w:tbl>
    <w:p>
      <w:pPr>
        <w:pStyle w:val="Normal"/>
        <w:jc w:val="center"/>
        <w:rPr>
          <w:sz w:val="24"/>
        </w:rPr>
      </w:pPr>
      <w:r>
        <w:rPr>
          <w:sz w:val="24"/>
        </w:rPr>
      </w:r>
    </w:p>
    <w:p>
      <w:pPr>
        <w:pStyle w:val="Normal"/>
        <w:jc w:val="both"/>
        <w:rPr>
          <w:sz w:val="24"/>
        </w:rPr>
      </w:pPr>
      <w:r>
        <w:rPr>
          <w:sz w:val="24"/>
        </w:rPr>
      </w:r>
    </w:p>
    <w:p>
      <w:pPr>
        <w:pStyle w:val="Normal"/>
        <w:jc w:val="both"/>
        <w:rPr/>
      </w:pPr>
      <w:r>
        <w:rPr>
          <w:sz w:val="24"/>
        </w:rPr>
        <w:tab/>
        <w:t>FOR VALUE RECEIVED,</w:t>
      </w:r>
      <w:r>
        <w:rPr>
          <w:b/>
          <w:sz w:val="24"/>
        </w:rPr>
        <w:t xml:space="preserve"> TRANSWESTERN PIPELINE COMPANY</w:t>
      </w:r>
      <w:r>
        <w:rPr>
          <w:sz w:val="24"/>
        </w:rPr>
        <w:t xml:space="preserve"> ("Maker"), a Delaware corporation, having an address of 1400 Smith Street, Houston, Texas 77002, promises and agrees by this Promissory Note (this "Note") to pay to the order of </w:t>
      </w:r>
      <w:r>
        <w:rPr>
          <w:b/>
          <w:sz w:val="24"/>
        </w:rPr>
        <w:t>ENRON CORP.</w:t>
      </w:r>
      <w:r>
        <w:rPr>
          <w:sz w:val="24"/>
        </w:rPr>
        <w:t xml:space="preserve"> ("Payee"), 1400 Smith Street, Houston, Texas 77002, the principal sum of One Hundred Fifty Million Dollars and No/100 ($150,000,000.00) together with interest at the rate of seven and four tenths percent (7.4%) per annum for the initial maturity period ending April 1, 2001.  Interest payments will be paid on October 1, 2000 and April 1, 2001 during the initial period.  Unless Maker opts to terminate this Note as of the initial maturity date by payment of the principal, the Note will automatically renew for an additional three (3) month period at a rate per calendar quarter equal to the Three Month LIBOR Rate plus thirty five hundredths of a percent (0.35%) (the "Stated Rate").  The Three Month LIBOR Rate shall be that rate published in the </w:t>
      </w:r>
      <w:r>
        <w:rPr>
          <w:sz w:val="24"/>
          <w:u w:val="single"/>
        </w:rPr>
        <w:t>Wall Street Journal</w:t>
      </w:r>
      <w:r>
        <w:rPr>
          <w:sz w:val="24"/>
        </w:rPr>
        <w:t xml:space="preserve"> for the first (1</w:t>
      </w:r>
      <w:r>
        <w:rPr>
          <w:sz w:val="24"/>
          <w:vertAlign w:val="superscript"/>
        </w:rPr>
        <w:t>st</w:t>
      </w:r>
      <w:r>
        <w:rPr>
          <w:sz w:val="24"/>
        </w:rPr>
        <w:t xml:space="preserve">) day of each calendar quarter.  To illustrate, the Three Month LIBOR Rate for April 1, 2000, as published by the </w:t>
      </w:r>
      <w:r>
        <w:rPr>
          <w:sz w:val="24"/>
          <w:u w:val="single"/>
        </w:rPr>
        <w:t>Wall Street Journal</w:t>
      </w:r>
      <w:r>
        <w:rPr>
          <w:sz w:val="24"/>
        </w:rPr>
        <w:t xml:space="preserve"> on April 3, 2000, shall be used to calculate the Stated Rate for the entire calendar quarter.  Thereafter, this Note will renew on a quarterly basis at the Stated Rate until Maker terminates it at the end of a quarterly period by payment of the principal.  Maker shall pay interest quarterly on the first (1</w:t>
      </w:r>
      <w:r>
        <w:rPr>
          <w:sz w:val="24"/>
          <w:vertAlign w:val="superscript"/>
        </w:rPr>
        <w:t>st</w:t>
      </w:r>
      <w:r>
        <w:rPr>
          <w:sz w:val="24"/>
        </w:rPr>
        <w:t>) day of each succeeding quarter until the principal is redeemed.</w:t>
      </w:r>
    </w:p>
    <w:p>
      <w:pPr>
        <w:pStyle w:val="Normal"/>
        <w:jc w:val="both"/>
        <w:rPr>
          <w:sz w:val="24"/>
        </w:rPr>
      </w:pPr>
      <w:r>
        <w:rPr>
          <w:sz w:val="24"/>
        </w:rPr>
      </w:r>
    </w:p>
    <w:p>
      <w:pPr>
        <w:pStyle w:val="Normal"/>
        <w:jc w:val="both"/>
        <w:rPr>
          <w:sz w:val="24"/>
        </w:rPr>
      </w:pPr>
      <w:r>
        <w:rPr>
          <w:sz w:val="24"/>
        </w:rPr>
        <w:tab/>
        <w:t>Maker shall have the right to prepay at any time all or any part of the outstanding principal balance, together with accrued interest on the amount prepaid.  Any amount paid or prepaid by Maker to Payee under this Note, shall be applied first to accrued interest and then to unpaid principal.</w:t>
      </w:r>
    </w:p>
    <w:p>
      <w:pPr>
        <w:pStyle w:val="Normal"/>
        <w:jc w:val="both"/>
        <w:rPr>
          <w:sz w:val="24"/>
        </w:rPr>
      </w:pPr>
      <w:r>
        <w:rPr>
          <w:sz w:val="24"/>
        </w:rPr>
      </w:r>
    </w:p>
    <w:p>
      <w:pPr>
        <w:pStyle w:val="Normal"/>
        <w:jc w:val="both"/>
        <w:rPr>
          <w:sz w:val="24"/>
        </w:rPr>
      </w:pPr>
      <w:r>
        <w:rPr>
          <w:sz w:val="24"/>
        </w:rPr>
        <w:tab/>
        <w:t>If any prepayment of principal or interest on this Note shall become due on a Saturday, Sunday, or public holiday under the laws of the State of Texas, or a day on which Payee or Maker is not open for business, such payment shall be made on the next succeeding business day of Payee or Maker, as the case may be.</w:t>
      </w:r>
    </w:p>
    <w:p>
      <w:pPr>
        <w:pStyle w:val="Normal"/>
        <w:jc w:val="both"/>
        <w:rPr>
          <w:sz w:val="24"/>
        </w:rPr>
      </w:pPr>
      <w:r>
        <w:rPr>
          <w:sz w:val="24"/>
        </w:rPr>
      </w:r>
    </w:p>
    <w:p>
      <w:pPr>
        <w:pStyle w:val="Normal"/>
        <w:jc w:val="both"/>
        <w:rPr/>
      </w:pPr>
      <w:r>
        <w:rPr>
          <w:sz w:val="24"/>
        </w:rPr>
        <w:tab/>
        <w:t>If the principal amount of this Note or any interest accrued thereon is not paid when due or if Maker becomes insolvent or if a petition in bankruptcy or for any relief under any law relating to the relief of debtors, readjustment of indebtedness, reorganization, composition or arrangement shall be filed, or any proceedings shall be instituted under any such law by or against Maker, which petition or proceedings shall be undismissed or unstayed on or after the thirtieth (30</w:t>
      </w:r>
      <w:r>
        <w:rPr>
          <w:sz w:val="24"/>
          <w:vertAlign w:val="superscript"/>
        </w:rPr>
        <w:t>th</w:t>
      </w:r>
      <w:r>
        <w:rPr>
          <w:sz w:val="24"/>
        </w:rPr>
        <w:t>) day after such filing or institution, this Note shall become automatically due and payable forthwith without demand, notice of nonpayment, presentment, protest or notice of dishonor, notice of intent to accelerate the maturity hereof, all of which are hereby expressly waived by Maker.</w:t>
      </w:r>
    </w:p>
    <w:p>
      <w:pPr>
        <w:pStyle w:val="Normal"/>
        <w:jc w:val="both"/>
        <w:rPr>
          <w:sz w:val="24"/>
        </w:rPr>
      </w:pPr>
      <w:r>
        <w:rPr>
          <w:sz w:val="24"/>
        </w:rPr>
      </w:r>
    </w:p>
    <w:p>
      <w:pPr>
        <w:pStyle w:val="Normal"/>
        <w:jc w:val="both"/>
        <w:rPr>
          <w:sz w:val="24"/>
        </w:rPr>
      </w:pPr>
      <w:r>
        <w:rPr>
          <w:sz w:val="24"/>
        </w:rPr>
        <w:tab/>
        <w:t>If this Note is not paid at maturity, whether by acceleration or otherwise, and is placed in the hands of an attorney for collection, or suit is filed herein, or proceedings are had in bankruptcy, receivership, reorganization, arrangement or other legal proceedings for collection hereof, Maker agrees to pay Payee's reasonable attorney's fees.</w:t>
      </w:r>
    </w:p>
    <w:p>
      <w:pPr>
        <w:pStyle w:val="Normal"/>
        <w:jc w:val="both"/>
        <w:rPr>
          <w:sz w:val="24"/>
        </w:rPr>
      </w:pPr>
      <w:r>
        <w:rPr>
          <w:sz w:val="24"/>
        </w:rPr>
      </w:r>
    </w:p>
    <w:p>
      <w:pPr>
        <w:pStyle w:val="Normal"/>
        <w:jc w:val="both"/>
        <w:rPr>
          <w:sz w:val="24"/>
        </w:rPr>
      </w:pPr>
      <w:r>
        <w:rPr>
          <w:sz w:val="24"/>
        </w:rPr>
        <w:tab/>
        <w:t>It is the intention of Maker and Payee to conform strictly to usury laws of the State of Texas.  Accordingly, if the transactions contemplated hereby would be usurious under the laws of the State of Texas as construed by courts having jurisdiction thereof, in that event, notwithstanding anything to the contrary in this Note, it is agreed as follows: (i) the aggregate of all consideration which constitutes interest under the laws of the State of Texas as construed by courts having jurisdiction thereof that is contracted for, taken, reserved, charged or received under this Note shall under no circumstances exceed the maximum amount allowed by such laws, and any excess shall be canceled automatically and, if theretofore paid, shall be credited by Payee on the principal amount of the loan (or, to the extent that the principal amount of such loan shall have been or would thereby be paid in full, refunded to Maker); and (ii) in the event that the maturity of this Note is accelerated for any reason before the due date stated, then such consideration that constitutes interest under the laws of the State of Texas as construed by courts having jurisdiction thereof may never include more than the maximum amount allowed by such laws, and excess interest, if any, provided for in this Note shall be canceled automatically as of the date of such acceleration and, if theretofore paid, shall be credited by Payee on the principal amount of the loan (or, to the extent that the principal amount of such loan shall have been or would thereby be paid in full, refunded by Payee to Maker).</w:t>
      </w:r>
    </w:p>
    <w:p>
      <w:pPr>
        <w:pStyle w:val="Normal"/>
        <w:jc w:val="both"/>
        <w:rPr>
          <w:sz w:val="24"/>
        </w:rPr>
      </w:pPr>
      <w:r>
        <w:rPr>
          <w:sz w:val="24"/>
        </w:rPr>
      </w:r>
    </w:p>
    <w:p>
      <w:pPr>
        <w:pStyle w:val="Normal"/>
        <w:jc w:val="both"/>
        <w:rPr>
          <w:sz w:val="24"/>
        </w:rPr>
      </w:pPr>
      <w:r>
        <w:rPr>
          <w:sz w:val="24"/>
        </w:rPr>
        <w:tab/>
        <w:t>Whenever used herein the words "Maker" and "Payee" shall be deemed to include, to the extent applicable, the respective successors and assigns of Maker and of Payee.  This obligation shall bind Maker and, to the extent applicable, its successors and assigns, and the benefits hereof shall inure to Payee and its successors and assigns.</w:t>
      </w:r>
    </w:p>
    <w:p>
      <w:pPr>
        <w:pStyle w:val="Normal"/>
        <w:jc w:val="both"/>
        <w:rPr>
          <w:sz w:val="24"/>
        </w:rPr>
      </w:pPr>
      <w:r>
        <w:rPr>
          <w:sz w:val="24"/>
        </w:rPr>
      </w:r>
    </w:p>
    <w:p>
      <w:pPr>
        <w:pStyle w:val="Normal"/>
        <w:jc w:val="both"/>
        <w:rPr>
          <w:sz w:val="24"/>
        </w:rPr>
      </w:pPr>
      <w:r>
        <w:rPr>
          <w:sz w:val="24"/>
        </w:rPr>
        <w:tab/>
      </w:r>
      <w:r>
        <w:rPr>
          <w:b/>
          <w:sz w:val="24"/>
        </w:rPr>
        <w:t>THIS NOTE SHALL BE CONSTRUED IN ACCORDANCE WITH AND GOVERNED BY THE LAWS OF THE STATE OF TEXAS.</w:t>
      </w:r>
    </w:p>
    <w:p>
      <w:pPr>
        <w:pStyle w:val="Normal"/>
        <w:jc w:val="both"/>
        <w:rPr>
          <w:sz w:val="24"/>
        </w:rPr>
      </w:pPr>
      <w:r>
        <w:rPr>
          <w:sz w:val="24"/>
        </w:rPr>
      </w:r>
    </w:p>
    <w:p>
      <w:pPr>
        <w:pStyle w:val="Normal"/>
        <w:jc w:val="both"/>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sz w:val="24"/>
              </w:rPr>
            </w:pPr>
            <w:r>
              <w:rPr>
                <w:sz w:val="24"/>
              </w:rPr>
              <w:t>Transwestern Pipeline Company</w:t>
            </w:r>
          </w:p>
        </w:tc>
        <w:tc>
          <w:tcPr>
            <w:tcW w:w="4788" w:type="dxa"/>
            <w:tcBorders/>
          </w:tcPr>
          <w:p>
            <w:pPr>
              <w:pStyle w:val="Normal"/>
              <w:jc w:val="both"/>
              <w:rPr>
                <w:sz w:val="24"/>
              </w:rPr>
            </w:pPr>
            <w:r>
              <w:rPr>
                <w:sz w:val="24"/>
              </w:rPr>
              <w:t>Enron Corp.</w:t>
            </w:r>
          </w:p>
        </w:tc>
      </w:tr>
      <w:tr>
        <w:trPr/>
        <w:tc>
          <w:tcPr>
            <w:tcW w:w="4788" w:type="dxa"/>
            <w:tcBorders/>
          </w:tcPr>
          <w:p>
            <w:pPr>
              <w:pStyle w:val="Normal"/>
              <w:snapToGrid w:val="false"/>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By:</w:t>
            </w:r>
            <w:r>
              <w:rPr>
                <w:sz w:val="24"/>
                <w:u w:val="single"/>
              </w:rPr>
              <w:tab/>
              <w:tab/>
              <w:tab/>
              <w:tab/>
              <w:tab/>
              <w:tab/>
            </w:r>
          </w:p>
          <w:p>
            <w:pPr>
              <w:pStyle w:val="Normal"/>
              <w:jc w:val="both"/>
              <w:rPr>
                <w:sz w:val="24"/>
              </w:rPr>
            </w:pPr>
            <w:r>
              <w:rPr>
                <w:sz w:val="24"/>
              </w:rPr>
              <w:t>Printed Name:</w:t>
            </w:r>
            <w:r>
              <w:rPr>
                <w:sz w:val="24"/>
                <w:u w:val="single"/>
              </w:rPr>
              <w:tab/>
              <w:tab/>
              <w:tab/>
              <w:tab/>
              <w:tab/>
            </w:r>
          </w:p>
          <w:p>
            <w:pPr>
              <w:pStyle w:val="Normal"/>
              <w:jc w:val="both"/>
              <w:rPr>
                <w:sz w:val="24"/>
              </w:rPr>
            </w:pPr>
            <w:r>
              <w:rPr>
                <w:sz w:val="24"/>
              </w:rPr>
              <w:t>Title:</w:t>
            </w:r>
            <w:r>
              <w:rPr>
                <w:sz w:val="24"/>
                <w:u w:val="single"/>
              </w:rPr>
              <w:tab/>
              <w:tab/>
              <w:tab/>
              <w:tab/>
              <w:tab/>
              <w:tab/>
            </w:r>
          </w:p>
        </w:tc>
        <w:tc>
          <w:tcPr>
            <w:tcW w:w="4788" w:type="dxa"/>
            <w:tcBorders/>
          </w:tcPr>
          <w:p>
            <w:pPr>
              <w:pStyle w:val="Normal"/>
              <w:snapToGrid w:val="false"/>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By:</w:t>
            </w:r>
            <w:r>
              <w:rPr>
                <w:sz w:val="24"/>
                <w:u w:val="single"/>
              </w:rPr>
              <w:tab/>
              <w:tab/>
              <w:tab/>
              <w:tab/>
              <w:tab/>
              <w:tab/>
            </w:r>
          </w:p>
          <w:p>
            <w:pPr>
              <w:pStyle w:val="Normal"/>
              <w:jc w:val="both"/>
              <w:rPr>
                <w:sz w:val="24"/>
              </w:rPr>
            </w:pPr>
            <w:r>
              <w:rPr>
                <w:sz w:val="24"/>
              </w:rPr>
              <w:t>Printed Name:</w:t>
            </w:r>
            <w:r>
              <w:rPr>
                <w:sz w:val="24"/>
                <w:u w:val="single"/>
              </w:rPr>
              <w:tab/>
              <w:tab/>
              <w:tab/>
              <w:tab/>
              <w:tab/>
            </w:r>
          </w:p>
          <w:p>
            <w:pPr>
              <w:pStyle w:val="Normal"/>
              <w:jc w:val="both"/>
              <w:rPr>
                <w:sz w:val="24"/>
              </w:rPr>
            </w:pPr>
            <w:r>
              <w:rPr>
                <w:sz w:val="24"/>
              </w:rPr>
              <w:t>Title:</w:t>
            </w:r>
            <w:r>
              <w:rPr>
                <w:sz w:val="24"/>
                <w:u w:val="single"/>
              </w:rPr>
              <w:tab/>
              <w:tab/>
              <w:tab/>
              <w:tab/>
              <w:tab/>
              <w:tab/>
            </w:r>
          </w:p>
        </w:tc>
      </w:tr>
    </w:tbl>
    <w:p>
      <w:pPr>
        <w:pStyle w:val="Normal"/>
        <w:jc w:val="both"/>
        <w:rPr>
          <w:sz w:val="24"/>
        </w:rPr>
      </w:pPr>
      <w:r>
        <w:rPr>
          <w:sz w:val="24"/>
        </w:rPr>
      </w:r>
    </w:p>
    <w:sectPr>
      <w:footerReference w:type="default" r:id="rId2"/>
      <w:type w:val="nextPage"/>
      <w:pgSz w:w="12240" w:h="15840"/>
      <w:pgMar w:left="1440" w:right="1440" w:gutter="0" w:header="0" w:top="1800" w:footer="1728"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n:\legal\lhuber\TW $150MM Note.doc</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8961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689610" cy="175260"/>
                      </a:xfrm>
                      <a:prstGeom prst="rect"/>
                      <a:solidFill>
                        <a:srgbClr val="FFFFFF">
                          <a:alpha val="0"/>
                        </a:srgbClr>
                      </a:solidFill>
                    </wps:spPr>
                    <wps:txbx>
                      <w:txbxContent>
                        <w:p>
                          <w:pPr>
                            <w:pStyle w:val="Footer"/>
                            <w:rPr>
                              <w:rStyle w:val="PageNumber"/>
                              <w:sz w:val="24"/>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r>
                            <w:rPr>
                              <w:rStyle w:val="PageNumber"/>
                              <w:sz w:val="24"/>
                            </w:rPr>
                            <w:t xml:space="preserve"> of 2</w:t>
                          </w:r>
                        </w:p>
                      </w:txbxContent>
                    </wps:txbx>
                    <wps:bodyPr anchor="t" lIns="0" tIns="0" rIns="0" bIns="0">
                      <a:noAutofit/>
                    </wps:bodyPr>
                  </wps:wsp>
                </a:graphicData>
              </a:graphic>
            </wp:anchor>
          </w:drawing>
        </mc:Choice>
        <mc:Fallback>
          <w:pict>
            <v:rect fillcolor="#FFFFFF" style="position:absolute;rotation:-0;width:54.3pt;height:13.8pt;mso-wrap-distance-left:0pt;mso-wrap-distance-right:0pt;mso-wrap-distance-top:0pt;mso-wrap-distance-bottom:0pt;margin-top:0.05pt;mso-position-vertical-relative:text;margin-left:206.85pt;mso-position-horizontal:center;mso-position-horizontal-relative:margin">
              <v:fill opacity="0f"/>
              <v:textbox inset="0in,0in,0in,0in">
                <w:txbxContent>
                  <w:p>
                    <w:pPr>
                      <w:pStyle w:val="Footer"/>
                      <w:rPr>
                        <w:rStyle w:val="PageNumber"/>
                        <w:sz w:val="24"/>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r>
                      <w:rPr>
                        <w:rStyle w:val="PageNumber"/>
                        <w:sz w:val="24"/>
                      </w:rPr>
                      <w:t xml:space="preserve"> of 2</w:t>
                    </w:r>
                  </w:p>
                </w:txbxContent>
              </v:textbox>
              <w10:wrap type="square"/>
            </v:rect>
          </w:pict>
        </mc:Fallback>
      </mc:AlternateContent>
    </w:r>
  </w:p>
</w:ftr>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2000-04-28T15:00:00Z</dcterms:created>
  <dc:creator>dlagesse</dc:creator>
  <dc:description/>
  <dc:language>en-CA</dc:language>
  <cp:lastModifiedBy>dlagesse</cp:lastModifiedBy>
  <cp:lastPrinted>2000-05-04T09:42:00Z</cp:lastPrinted>
  <dcterms:modified xsi:type="dcterms:W3CDTF">2000-05-04T13:25:00Z</dcterms:modified>
  <cp:revision>10</cp:revision>
  <dc:subject/>
  <dc:title>PROMISSORY NOTE</dc:title>
</cp:coreProperties>
</file>