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i/>
          <w:i/>
          <w:iCs/>
        </w:rPr>
      </w:pPr>
      <w:r>
        <w:rPr>
          <w:b/>
          <w:bCs/>
          <w:i/>
          <w:iCs/>
        </w:rPr>
        <w:t>Risk Management—Transwestern Receipt Point into California (“Hector Road”)</w:t>
      </w:r>
    </w:p>
    <w:p>
      <w:pPr>
        <w:pStyle w:val="Normal"/>
        <w:rPr/>
      </w:pPr>
      <w:r>
        <w:rPr/>
      </w:r>
    </w:p>
    <w:p>
      <w:pPr>
        <w:pStyle w:val="Heading1"/>
        <w:ind w:hanging="0" w:start="0"/>
        <w:rPr/>
      </w:pPr>
      <w:r>
        <w:rPr/>
        <w:t>Background</w:t>
      </w:r>
    </w:p>
    <w:p>
      <w:pPr>
        <w:pStyle w:val="Normal"/>
        <w:numPr>
          <w:ilvl w:val="0"/>
          <w:numId w:val="2"/>
        </w:numPr>
        <w:tabs>
          <w:tab w:val="clear" w:pos="720"/>
        </w:tabs>
        <w:ind w:hanging="360" w:start="360" w:end="0"/>
        <w:rPr/>
      </w:pPr>
      <w:r>
        <w:rPr/>
        <w:t xml:space="preserve">The amount of </w:t>
      </w:r>
      <w:r>
        <w:rPr>
          <w:i/>
          <w:iCs/>
        </w:rPr>
        <w:t>interstate</w:t>
      </w:r>
      <w:r>
        <w:rPr/>
        <w:t xml:space="preserve"> pipeline capacity into California that connects to SoCalGas’ system significantly exceeds the amount of “takeaway” </w:t>
      </w:r>
      <w:r>
        <w:rPr>
          <w:i/>
          <w:iCs/>
        </w:rPr>
        <w:t>intrastate</w:t>
      </w:r>
      <w:r>
        <w:rPr/>
        <w:t xml:space="preserve"> capacity available to deliver gas to California’s end-use customers.  </w:t>
      </w:r>
    </w:p>
    <w:p>
      <w:pPr>
        <w:pStyle w:val="Normal"/>
        <w:numPr>
          <w:ilvl w:val="0"/>
          <w:numId w:val="2"/>
        </w:numPr>
        <w:tabs>
          <w:tab w:val="clear" w:pos="720"/>
        </w:tabs>
        <w:ind w:hanging="360" w:start="360" w:end="0"/>
        <w:rPr/>
      </w:pPr>
      <w:r>
        <w:rPr/>
        <w:t xml:space="preserve">As a result, competition among pipelines to get gas into California is fierce.  </w:t>
      </w:r>
    </w:p>
    <w:p>
      <w:pPr>
        <w:pStyle w:val="Normal"/>
        <w:numPr>
          <w:ilvl w:val="0"/>
          <w:numId w:val="2"/>
        </w:numPr>
        <w:tabs>
          <w:tab w:val="clear" w:pos="720"/>
        </w:tabs>
        <w:ind w:hanging="360" w:start="360" w:end="0"/>
        <w:rPr/>
      </w:pPr>
      <w:r>
        <w:rPr/>
        <w:t>“</w:t>
      </w:r>
      <w:r>
        <w:rPr/>
        <w:t xml:space="preserve">Hector Road” is a key receipt into California for Transwestern.  </w:t>
      </w:r>
    </w:p>
    <w:p>
      <w:pPr>
        <w:pStyle w:val="Normal"/>
        <w:numPr>
          <w:ilvl w:val="0"/>
          <w:numId w:val="2"/>
        </w:numPr>
        <w:tabs>
          <w:tab w:val="clear" w:pos="720"/>
        </w:tabs>
        <w:ind w:hanging="360" w:start="360" w:end="0"/>
        <w:rPr/>
      </w:pPr>
      <w:r>
        <w:rPr/>
        <w:t>Unlike other receipt points into California, Hector has not been subject to competition because SoCalGas traditionally designated it as an “operational” receipt point.</w:t>
      </w:r>
    </w:p>
    <w:p>
      <w:pPr>
        <w:pStyle w:val="Normal"/>
        <w:numPr>
          <w:ilvl w:val="0"/>
          <w:numId w:val="2"/>
        </w:numPr>
        <w:tabs>
          <w:tab w:val="clear" w:pos="720"/>
        </w:tabs>
        <w:ind w:hanging="360" w:start="360" w:end="0"/>
        <w:rPr/>
      </w:pPr>
      <w:r>
        <w:rPr/>
        <w:t>In 1999, as part of a larger proposal to restructure SoCalGas’ system, the California PUC proposed to make Hector a primary receipt point and subject it to competition, similar to other receipt points coming into California.  (Note: SF GA had kept TW abreast of events as they unfolded in California. TW did not actively participate in the PUC process, however.)</w:t>
      </w:r>
    </w:p>
    <w:p>
      <w:pPr>
        <w:pStyle w:val="Normal"/>
        <w:numPr>
          <w:ilvl w:val="0"/>
          <w:numId w:val="2"/>
        </w:numPr>
        <w:tabs>
          <w:tab w:val="clear" w:pos="720"/>
        </w:tabs>
        <w:ind w:hanging="360" w:start="360" w:end="0"/>
        <w:rPr/>
      </w:pPr>
      <w:r>
        <w:rPr/>
        <w:t>The proposal put 200 MMcf of TW capacity at risk, since it would require TW to compete for capacity into California (calculations provided to Steffes/Neslage).</w:t>
      </w:r>
    </w:p>
    <w:p>
      <w:pPr>
        <w:pStyle w:val="Normal"/>
        <w:numPr>
          <w:ilvl w:val="1"/>
          <w:numId w:val="2"/>
        </w:numPr>
        <w:tabs>
          <w:tab w:val="clear" w:pos="720"/>
        </w:tabs>
        <w:ind w:hanging="360" w:start="720" w:end="0"/>
        <w:rPr/>
      </w:pPr>
      <w:r>
        <w:rPr/>
        <w:t xml:space="preserve">Financial risk to TW included three categories:  </w:t>
      </w:r>
    </w:p>
    <w:p>
      <w:pPr>
        <w:pStyle w:val="BodyTextIndent"/>
        <w:ind w:hanging="360" w:start="720" w:end="0"/>
        <w:rPr/>
      </w:pPr>
      <w:r>
        <w:rPr/>
        <w:t xml:space="preserve">1)  reduction in revenues related to variable charges for transporation service; </w:t>
      </w:r>
    </w:p>
    <w:p>
      <w:pPr>
        <w:pStyle w:val="Normal"/>
        <w:ind w:hanging="360" w:start="720" w:end="0"/>
        <w:rPr/>
      </w:pPr>
      <w:r>
        <w:rPr/>
        <w:t xml:space="preserve">2)  reduction in revenues related to fixed charges for transportation service; and </w:t>
      </w:r>
    </w:p>
    <w:p>
      <w:pPr>
        <w:pStyle w:val="BodyTextIndent2"/>
        <w:rPr/>
      </w:pPr>
      <w:r>
        <w:rPr/>
        <w:t>3)  potential for liquidated damages for failure to perform based on the reduction of 200 MMcf of capacity into California (not included in valuation).</w:t>
      </w:r>
    </w:p>
    <w:p>
      <w:pPr>
        <w:pStyle w:val="Normal"/>
        <w:numPr>
          <w:ilvl w:val="0"/>
          <w:numId w:val="2"/>
        </w:numPr>
        <w:tabs>
          <w:tab w:val="clear" w:pos="720"/>
        </w:tabs>
        <w:ind w:hanging="360" w:start="360" w:end="0"/>
        <w:rPr/>
      </w:pPr>
      <w:r>
        <w:rPr/>
        <w:t>SF GA notified TW of the PUC proposal.</w:t>
      </w:r>
    </w:p>
    <w:p>
      <w:pPr>
        <w:pStyle w:val="Normal"/>
        <w:numPr>
          <w:ilvl w:val="0"/>
          <w:numId w:val="2"/>
        </w:numPr>
        <w:tabs>
          <w:tab w:val="clear" w:pos="720"/>
        </w:tabs>
        <w:ind w:hanging="360" w:start="360" w:end="0"/>
        <w:rPr/>
      </w:pPr>
      <w:r>
        <w:rPr/>
        <w:t>SF GA then arranged and attended a meeting between TW VP Steve Harris, TW senior legal counsel and the President of the California PUC to explain why the PUC should not make final its proposal to make Hector a primary receipt point.</w:t>
      </w:r>
    </w:p>
    <w:p>
      <w:pPr>
        <w:pStyle w:val="Normal"/>
        <w:numPr>
          <w:ilvl w:val="0"/>
          <w:numId w:val="2"/>
        </w:numPr>
        <w:tabs>
          <w:tab w:val="clear" w:pos="720"/>
        </w:tabs>
        <w:ind w:hanging="360" w:start="360" w:end="0"/>
        <w:rPr/>
      </w:pPr>
      <w:r>
        <w:rPr/>
        <w:t>TW’s intervention was too late in the process and the PUC finalized its Hector proposal (along with other restructuring proposals) and directed parties to reach a settlement consistent with the PUC’s policy direction.</w:t>
      </w:r>
    </w:p>
    <w:p>
      <w:pPr>
        <w:pStyle w:val="Heading1"/>
        <w:ind w:hanging="0" w:start="0"/>
        <w:rPr/>
      </w:pPr>
      <w:r>
        <w:rPr/>
        <w:t>SF/GA Rrisk Management Strategy</w:t>
      </w:r>
    </w:p>
    <w:p>
      <w:pPr>
        <w:pStyle w:val="Normal"/>
        <w:numPr>
          <w:ilvl w:val="0"/>
          <w:numId w:val="2"/>
        </w:numPr>
        <w:tabs>
          <w:tab w:val="clear" w:pos="720"/>
        </w:tabs>
        <w:ind w:hanging="360" w:start="360" w:end="0"/>
        <w:rPr/>
      </w:pPr>
      <w:r>
        <w:rPr/>
        <w:t>SF GA took the lead on behalf of TW to manage the risk during the settlement process.  Steps taken included:</w:t>
      </w:r>
    </w:p>
    <w:p>
      <w:pPr>
        <w:pStyle w:val="Normal"/>
        <w:numPr>
          <w:ilvl w:val="1"/>
          <w:numId w:val="2"/>
        </w:numPr>
        <w:tabs>
          <w:tab w:val="clear" w:pos="720"/>
        </w:tabs>
        <w:ind w:hanging="360" w:start="720" w:end="0"/>
        <w:rPr/>
      </w:pPr>
      <w:r>
        <w:rPr/>
        <w:t>Working with TW to develop counter-proposal designed to reverse the PUC’s Hector proposal in the settlement process:</w:t>
      </w:r>
    </w:p>
    <w:p>
      <w:pPr>
        <w:pStyle w:val="Normal"/>
        <w:numPr>
          <w:ilvl w:val="1"/>
          <w:numId w:val="2"/>
        </w:numPr>
        <w:tabs>
          <w:tab w:val="clear" w:pos="720"/>
        </w:tabs>
        <w:ind w:hanging="360" w:start="720" w:end="0"/>
        <w:rPr/>
      </w:pPr>
      <w:r>
        <w:rPr/>
        <w:t>Using SF/GA gas industry contacts to arrange meetings with industry participants to “sell” TW’s Hector proposal to the industry;</w:t>
      </w:r>
    </w:p>
    <w:p>
      <w:pPr>
        <w:pStyle w:val="Normal"/>
        <w:numPr>
          <w:ilvl w:val="1"/>
          <w:numId w:val="2"/>
        </w:numPr>
        <w:tabs>
          <w:tab w:val="clear" w:pos="720"/>
        </w:tabs>
        <w:ind w:hanging="360" w:start="720" w:end="0"/>
        <w:rPr/>
      </w:pPr>
      <w:r>
        <w:rPr/>
        <w:t>Using stature in settlement process to secure a prominent place on the settlement agenda for TW to present its proposal to the industry;</w:t>
      </w:r>
    </w:p>
    <w:p>
      <w:pPr>
        <w:pStyle w:val="Normal"/>
        <w:numPr>
          <w:ilvl w:val="1"/>
          <w:numId w:val="2"/>
        </w:numPr>
        <w:tabs>
          <w:tab w:val="clear" w:pos="720"/>
        </w:tabs>
        <w:ind w:hanging="360" w:start="720" w:end="0"/>
        <w:rPr/>
      </w:pPr>
      <w:r>
        <w:rPr/>
        <w:t>Faced with two competing settlements, ensuring that both settlements adopted TW’s Hector proposal.</w:t>
      </w:r>
    </w:p>
    <w:p>
      <w:pPr>
        <w:pStyle w:val="Normal"/>
        <w:numPr>
          <w:ilvl w:val="0"/>
          <w:numId w:val="2"/>
        </w:numPr>
        <w:tabs>
          <w:tab w:val="clear" w:pos="720"/>
        </w:tabs>
        <w:ind w:hanging="360" w:start="360" w:end="0"/>
        <w:rPr/>
      </w:pPr>
      <w:r>
        <w:rPr/>
        <w:t>The SF GA strategy succeeded:</w:t>
      </w:r>
    </w:p>
    <w:p>
      <w:pPr>
        <w:pStyle w:val="Normal"/>
        <w:numPr>
          <w:ilvl w:val="1"/>
          <w:numId w:val="2"/>
        </w:numPr>
        <w:tabs>
          <w:tab w:val="clear" w:pos="720"/>
        </w:tabs>
        <w:ind w:hanging="360" w:start="720" w:end="0"/>
        <w:rPr/>
      </w:pPr>
      <w:r>
        <w:rPr/>
        <w:t>The industry agreed to the TW proposal.</w:t>
      </w:r>
    </w:p>
    <w:p>
      <w:pPr>
        <w:pStyle w:val="Normal"/>
        <w:numPr>
          <w:ilvl w:val="1"/>
          <w:numId w:val="2"/>
        </w:numPr>
        <w:tabs>
          <w:tab w:val="clear" w:pos="720"/>
        </w:tabs>
        <w:ind w:hanging="360" w:start="720" w:end="0"/>
        <w:rPr/>
      </w:pPr>
      <w:r>
        <w:rPr/>
        <w:t>Both settlements submitted to the PUC include TW’s Hector proposal.</w:t>
      </w:r>
    </w:p>
    <w:p>
      <w:pPr>
        <w:pStyle w:val="Normal"/>
        <w:numPr>
          <w:ilvl w:val="1"/>
          <w:numId w:val="2"/>
        </w:numPr>
        <w:tabs>
          <w:tab w:val="clear" w:pos="720"/>
        </w:tabs>
        <w:ind w:hanging="360" w:start="720" w:end="0"/>
        <w:rPr/>
      </w:pPr>
      <w:r>
        <w:rPr/>
        <w:t xml:space="preserve">The TW proposal reverses the PUC’s Hector proposal, maintains the </w:t>
      </w:r>
      <w:r>
        <w:rPr>
          <w:i/>
          <w:iCs/>
        </w:rPr>
        <w:t>status quo</w:t>
      </w:r>
      <w:r>
        <w:rPr/>
        <w:t xml:space="preserve"> at Hector, and eliminates the risk created by the PUC proposal.</w:t>
      </w:r>
    </w:p>
    <w:p>
      <w:pPr>
        <w:pStyle w:val="Normal"/>
        <w:numPr>
          <w:ilvl w:val="1"/>
          <w:numId w:val="2"/>
        </w:numPr>
        <w:tabs>
          <w:tab w:val="clear" w:pos="720"/>
        </w:tabs>
        <w:ind w:hanging="360" w:start="720" w:end="0"/>
        <w:rPr/>
      </w:pPr>
      <w:r>
        <w:rPr/>
        <w:t>In sum: Whichever proposal is adopted, the risk previously faced is eliminated.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440" w:hanging="360"/>
      </w:pPr>
      <w:rPr>
        <w:rFonts w:ascii="Wingdings" w:hAnsi="Wingdings" w:cs="Wingdings" w:hint="default"/>
        <w:sz w:val="20"/>
        <w:i w:val="false"/>
        <w:b w:val="false"/>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i/>
      <w:iCs/>
    </w:rPr>
  </w:style>
  <w:style w:type="character" w:styleId="WW8Num1z0">
    <w:name w:val="WW8Num1z0"/>
    <w:qFormat/>
    <w:rPr/>
  </w:style>
  <w:style w:type="character" w:styleId="WW8Num2z0">
    <w:name w:val="WW8Num2z0"/>
    <w:qFormat/>
    <w:rPr>
      <w:rFonts w:ascii="Wingdings" w:hAnsi="Wingdings" w:cs="Wingdings"/>
      <w:b w:val="false"/>
      <w:i w:val="false"/>
      <w:sz w:val="2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pPr>
    <w:rPr/>
  </w:style>
  <w:style w:type="paragraph" w:styleId="BodyTextIndent2">
    <w:name w:val="Body Text Indent 2"/>
    <w:basedOn w:val="Normal"/>
    <w:qFormat/>
    <w:pPr>
      <w:ind w:hanging="360" w:start="720" w:end="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2000-10-03T22:57:00Z</dcterms:created>
  <dc:creator>jdasovic</dc:creator>
  <dc:description/>
  <dc:language>en-CA</dc:language>
  <cp:lastModifiedBy>jdasovic</cp:lastModifiedBy>
  <dcterms:modified xsi:type="dcterms:W3CDTF">2000-10-05T15:16:00Z</dcterms:modified>
  <cp:revision>15</cp:revision>
  <dc:subject/>
  <dc:title>Risk Management—Transwestern Receipt Point into California (“Hector Road”)</dc:title>
</cp:coreProperties>
</file>