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Transwestern Pipeline Company</w:t>
      </w:r>
    </w:p>
    <w:p>
      <w:pPr>
        <w:pStyle w:val="Normal"/>
        <w:jc w:val="center"/>
        <w:rPr/>
      </w:pPr>
      <w:r>
        <w:rPr/>
        <w:t>Ratings Package Outline</w:t>
      </w:r>
    </w:p>
    <w:p>
      <w:pPr>
        <w:pStyle w:val="Normal"/>
        <w:jc w:val="center"/>
        <w:rPr/>
      </w:pPr>
      <w:r>
        <w:rPr/>
        <w:t>(</w:t>
      </w:r>
      <w:r>
        <w:rPr>
          <w:b/>
          <w:bCs/>
          <w:i/>
          <w:iCs/>
        </w:rPr>
        <w:t>WE CAN MAKE SLIDES FROM THIS OUTLINE)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2"/>
        </w:numPr>
        <w:rPr/>
      </w:pPr>
      <w:r>
        <w:rPr/>
        <w:t>Regulatory Environment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3"/>
        </w:numPr>
        <w:rPr/>
      </w:pPr>
      <w:r>
        <w:rPr/>
        <w:t>Current Regulatory Regime</w:t>
      </w:r>
    </w:p>
    <w:p>
      <w:pPr>
        <w:pStyle w:val="Normal"/>
        <w:ind w:start="1440" w:end="0"/>
        <w:rPr/>
      </w:pPr>
      <w:r>
        <w:rPr/>
        <w:t>Transwestern’s  current transportation environment is influenced by three major regulatory rate filings and Transwestern’s currently effective FERC Gas Tariff.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  <w:t>The three major regulatory rate filings are:</w:t>
      </w:r>
    </w:p>
    <w:p>
      <w:pPr>
        <w:pStyle w:val="Normal"/>
        <w:ind w:start="1440" w:end="0"/>
        <w:rPr/>
      </w:pPr>
      <w:r>
        <w:rPr/>
        <w:tab/>
        <w:t>Transwestern’s 1993 Rate Case Settlement</w:t>
      </w:r>
    </w:p>
    <w:p>
      <w:pPr>
        <w:pStyle w:val="Normal"/>
        <w:ind w:start="1440" w:end="0"/>
        <w:rPr/>
      </w:pPr>
      <w:r>
        <w:rPr/>
        <w:tab/>
        <w:t>Transwestern’s 1995 Global Settlement</w:t>
      </w:r>
    </w:p>
    <w:p>
      <w:pPr>
        <w:pStyle w:val="Normal"/>
        <w:ind w:start="1440" w:end="0"/>
        <w:rPr/>
      </w:pPr>
      <w:r>
        <w:rPr/>
        <w:tab/>
        <w:t>Transwestern’s 1996 Global Settlement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3"/>
        </w:numPr>
        <w:rPr/>
      </w:pPr>
      <w:r>
        <w:rPr/>
        <w:t>Rate Case Overview</w:t>
      </w:r>
    </w:p>
    <w:p>
      <w:pPr>
        <w:pStyle w:val="Normal"/>
        <w:numPr>
          <w:ilvl w:val="3"/>
          <w:numId w:val="3"/>
        </w:numPr>
        <w:rPr/>
      </w:pPr>
      <w:r>
        <w:rPr/>
        <w:t>Rate Method</w:t>
      </w:r>
    </w:p>
    <w:p>
      <w:pPr>
        <w:pStyle w:val="Normal"/>
        <w:ind w:start="1440" w:end="0"/>
        <w:rPr/>
      </w:pPr>
      <w:r>
        <w:rPr/>
        <w:t>Transwestern’s currently effective tariff rates implemented under the 1993 Rate Case Settlement (RP93-34) use the Straight Fixed Variable (SFV) rate design mandated by FERC Order No. 636.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  <w:t>Transwestern also has in effect its Settlement Base Rates (SBR) which were implemented under its Global and its Mini- Settlements (RP95-271, et al.).  The SBRs  are applicable to seven specific shippers, identified in the Global and Mini- Settlements as “Current Firm Customers.”</w:t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3"/>
        </w:numPr>
        <w:rPr/>
      </w:pPr>
      <w:r>
        <w:rPr/>
        <w:t>Current Rate Structure- ratebase &amp; return</w:t>
      </w:r>
    </w:p>
    <w:p>
      <w:pPr>
        <w:pStyle w:val="Normal"/>
        <w:ind w:start="1440" w:end="0"/>
        <w:rPr/>
      </w:pPr>
      <w:r>
        <w:rPr/>
        <w:t>Transwestern’s Current Ratebase established under RP93-34 and amended by RP95-271 is as follows:</w:t>
      </w:r>
    </w:p>
    <w:p>
      <w:pPr>
        <w:pStyle w:val="Normal"/>
        <w:ind w:start="1440" w:end="0"/>
        <w:rPr/>
      </w:pPr>
      <w:r>
        <w:rPr/>
        <w:tab/>
        <w:t>Adjusted FTS-1 Reservation Charge Revenue</w:t>
        <w:tab/>
        <w:t>$134.8</w:t>
      </w:r>
    </w:p>
    <w:p>
      <w:pPr>
        <w:pStyle w:val="Normal"/>
        <w:ind w:start="1440" w:end="0"/>
        <w:rPr/>
      </w:pPr>
      <w:r>
        <w:rPr/>
        <w:tab/>
        <w:t>FTS-1 Commodity Charge Revenue</w:t>
        <w:tab/>
        <w:tab/>
        <w:tab/>
        <w:t>$    5.9</w:t>
      </w:r>
    </w:p>
    <w:p>
      <w:pPr>
        <w:pStyle w:val="Normal"/>
        <w:ind w:start="1440" w:end="0"/>
        <w:rPr/>
      </w:pPr>
      <w:r>
        <w:rPr/>
        <w:tab/>
        <w:t>ITS-1 (Allocated from FTS-1 Demand)</w:t>
        <w:tab/>
        <w:tab/>
      </w:r>
      <w:r>
        <w:rPr>
          <w:u w:val="single"/>
        </w:rPr>
        <w:t>$    6.1</w:t>
      </w:r>
    </w:p>
    <w:p>
      <w:pPr>
        <w:pStyle w:val="Normal"/>
        <w:ind w:start="1440" w:end="0"/>
        <w:rPr/>
      </w:pPr>
      <w:r>
        <w:rPr/>
        <w:tab/>
        <w:tab/>
        <w:t>Total Ratebase</w:t>
        <w:tab/>
        <w:tab/>
        <w:tab/>
        <w:tab/>
        <w:tab/>
        <w:t>$146.8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>
          <w:u w:val="single"/>
        </w:rPr>
        <w:t>1993 Rate Case Settlement</w:t>
      </w:r>
      <w:r>
        <w:rPr/>
        <w:t>:</w:t>
      </w:r>
    </w:p>
    <w:p>
      <w:pPr>
        <w:pStyle w:val="Normal"/>
        <w:numPr>
          <w:ilvl w:val="0"/>
          <w:numId w:val="1"/>
        </w:numPr>
        <w:rPr/>
      </w:pPr>
      <w:r>
        <w:rPr/>
        <w:t>FERC approved ______________.</w:t>
      </w:r>
    </w:p>
    <w:p>
      <w:pPr>
        <w:pStyle w:val="Normal"/>
        <w:numPr>
          <w:ilvl w:val="0"/>
          <w:numId w:val="1"/>
        </w:numPr>
        <w:rPr/>
      </w:pPr>
      <w:r>
        <w:rPr/>
        <w:t>SFV Rate Design</w:t>
      </w:r>
    </w:p>
    <w:p>
      <w:pPr>
        <w:pStyle w:val="Normal"/>
        <w:numPr>
          <w:ilvl w:val="0"/>
          <w:numId w:val="1"/>
        </w:numPr>
        <w:rPr/>
      </w:pPr>
      <w:r>
        <w:rPr/>
        <w:t>Additive zone based rates by path.</w:t>
      </w:r>
    </w:p>
    <w:p>
      <w:pPr>
        <w:pStyle w:val="Normal"/>
        <w:numPr>
          <w:ilvl w:val="0"/>
          <w:numId w:val="1"/>
        </w:numPr>
        <w:rPr/>
      </w:pPr>
      <w:r>
        <w:rPr/>
        <w:t>Rates effective April 1, 1994</w:t>
      </w:r>
    </w:p>
    <w:p>
      <w:pPr>
        <w:pStyle w:val="Normal"/>
        <w:numPr>
          <w:ilvl w:val="0"/>
          <w:numId w:val="1"/>
        </w:numPr>
        <w:rPr/>
      </w:pPr>
      <w:r>
        <w:rPr/>
        <w:t>General rate increase moratorium until November 1, 1996.</w:t>
      </w:r>
    </w:p>
    <w:p>
      <w:pPr>
        <w:pStyle w:val="Normal"/>
        <w:numPr>
          <w:ilvl w:val="0"/>
          <w:numId w:val="1"/>
        </w:numPr>
        <w:rPr/>
      </w:pPr>
      <w:r>
        <w:rPr/>
        <w:t>Next rate case to be effective no later than April 1, 1998,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>
          <w:u w:val="single"/>
        </w:rPr>
        <w:t>1995 Global Settlement</w:t>
      </w:r>
      <w:r>
        <w:rPr/>
        <w:t>:</w:t>
      </w:r>
    </w:p>
    <w:p>
      <w:pPr>
        <w:pStyle w:val="Normal"/>
        <w:numPr>
          <w:ilvl w:val="0"/>
          <w:numId w:val="1"/>
        </w:numPr>
        <w:rPr/>
      </w:pPr>
      <w:r>
        <w:rPr/>
        <w:t>FERC approved July 27,1995.</w:t>
      </w:r>
    </w:p>
    <w:p>
      <w:pPr>
        <w:pStyle w:val="Normal"/>
        <w:numPr>
          <w:ilvl w:val="0"/>
          <w:numId w:val="1"/>
        </w:numPr>
        <w:rPr/>
      </w:pPr>
      <w:r>
        <w:rPr/>
        <w:t>Established Settlement Base Rates (SBR) applicable to specified Current Firm Customers for the term of each one’s service agreement.</w:t>
      </w:r>
    </w:p>
    <w:p>
      <w:pPr>
        <w:pStyle w:val="Normal"/>
        <w:numPr>
          <w:ilvl w:val="0"/>
          <w:numId w:val="1"/>
        </w:numPr>
        <w:rPr/>
      </w:pPr>
      <w:r>
        <w:rPr/>
        <w:t>Resolved (1) the relinquishment of Southern California Gas’ (SoCal) 457,281 MMBtu of capacity; (2) all issues pertaining to the recovery of take-or-pay- costs; (3) all issues with respect to several pending (at the time) certificate proceedings (which included abandonment of facilities and gathering facility issues); and (4) issues related to the Commission’s mandated SFV Rate Design under Order No. 636.</w:t>
      </w:r>
    </w:p>
    <w:p>
      <w:pPr>
        <w:pStyle w:val="Normal"/>
        <w:numPr>
          <w:ilvl w:val="0"/>
          <w:numId w:val="1"/>
        </w:numPr>
        <w:rPr/>
      </w:pPr>
      <w:r>
        <w:rPr/>
        <w:t>Settlement Base Rates effective November 1, 1996.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SoCal relinquished capacity costs sharing mechanism: </w:t>
      </w:r>
    </w:p>
    <w:p>
      <w:pPr>
        <w:pStyle w:val="Normal"/>
        <w:ind w:firstLine="720" w:start="2160" w:end="0"/>
        <w:rPr/>
      </w:pPr>
      <w:r>
        <w:rPr/>
        <w:t>50/50 from November 1, 1996 through October 31, 1997</w:t>
      </w:r>
    </w:p>
    <w:p>
      <w:pPr>
        <w:pStyle w:val="Normal"/>
        <w:ind w:firstLine="720" w:start="2160" w:end="0"/>
        <w:rPr/>
      </w:pPr>
      <w:r>
        <w:rPr/>
        <w:t>75/25 from November 1, 1997 through October 31, 2001</w:t>
      </w:r>
    </w:p>
    <w:p>
      <w:pPr>
        <w:pStyle w:val="Normal"/>
        <w:numPr>
          <w:ilvl w:val="0"/>
          <w:numId w:val="1"/>
        </w:numPr>
        <w:rPr/>
      </w:pPr>
      <w:r>
        <w:rPr/>
        <w:t>Next Rate Filing to be effective no later than November 1, 2006.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>
          <w:u w:val="single"/>
        </w:rPr>
        <w:t>1996 Mini- Settlement</w:t>
      </w:r>
      <w:r>
        <w:rPr/>
        <w:t>:</w:t>
      </w:r>
    </w:p>
    <w:p>
      <w:pPr>
        <w:pStyle w:val="Normal"/>
        <w:numPr>
          <w:ilvl w:val="0"/>
          <w:numId w:val="1"/>
        </w:numPr>
        <w:rPr/>
      </w:pPr>
      <w:r>
        <w:rPr/>
        <w:t>FERC approved _____________.</w:t>
      </w:r>
    </w:p>
    <w:p>
      <w:pPr>
        <w:pStyle w:val="Normal"/>
        <w:numPr>
          <w:ilvl w:val="0"/>
          <w:numId w:val="1"/>
        </w:numPr>
        <w:rPr/>
      </w:pPr>
      <w:r>
        <w:rPr/>
        <w:t>Same term as Global Settlement.</w:t>
      </w:r>
    </w:p>
    <w:p>
      <w:pPr>
        <w:pStyle w:val="Normal"/>
        <w:numPr>
          <w:ilvl w:val="0"/>
          <w:numId w:val="1"/>
        </w:numPr>
        <w:rPr/>
      </w:pPr>
      <w:r>
        <w:rPr/>
        <w:t>Issues involved:</w:t>
      </w:r>
    </w:p>
    <w:p>
      <w:pPr>
        <w:pStyle w:val="Normal"/>
        <w:numPr>
          <w:ilvl w:val="1"/>
          <w:numId w:val="1"/>
        </w:numPr>
        <w:rPr/>
      </w:pPr>
      <w:r>
        <w:rPr/>
        <w:t>Resolved all issues involving recovery of unrecovered Purchase Gas Adjustment Costs.</w:t>
      </w:r>
    </w:p>
    <w:p>
      <w:pPr>
        <w:pStyle w:val="Normal"/>
        <w:numPr>
          <w:ilvl w:val="1"/>
          <w:numId w:val="1"/>
        </w:numPr>
        <w:rPr/>
      </w:pPr>
      <w:r>
        <w:rPr/>
        <w:t>Adjusted and finalized all issues relating to take-or-pay, buy-out, buy-down, and contract reformation costs.</w:t>
      </w:r>
    </w:p>
    <w:p>
      <w:pPr>
        <w:pStyle w:val="Normal"/>
        <w:numPr>
          <w:ilvl w:val="1"/>
          <w:numId w:val="1"/>
        </w:numPr>
        <w:rPr/>
      </w:pPr>
      <w:r>
        <w:rPr/>
        <w:t>Reduced the depreciation of mainline transmission facilities from 1.7% to 1.2%, effective January 1, 1996.</w:t>
      </w:r>
    </w:p>
    <w:p>
      <w:pPr>
        <w:pStyle w:val="Normal"/>
        <w:numPr>
          <w:ilvl w:val="1"/>
          <w:numId w:val="1"/>
        </w:numPr>
        <w:rPr/>
      </w:pPr>
      <w:r>
        <w:rPr/>
        <w:t>Provided a rate adjusted to the Global Settlement Base Rates.</w:t>
      </w:r>
    </w:p>
    <w:p>
      <w:pPr>
        <w:pStyle w:val="Normal"/>
        <w:numPr>
          <w:ilvl w:val="1"/>
          <w:numId w:val="1"/>
        </w:numPr>
        <w:rPr/>
      </w:pPr>
      <w:r>
        <w:rPr/>
        <w:t>Established an Amortization Mechanism for certain costs.</w:t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3"/>
        </w:numPr>
        <w:rPr/>
      </w:pPr>
      <w:r>
        <w:rPr/>
        <w:t>next rate case – expected changes</w:t>
      </w:r>
    </w:p>
    <w:p>
      <w:pPr>
        <w:pStyle w:val="Normal"/>
        <w:numPr>
          <w:ilvl w:val="0"/>
          <w:numId w:val="1"/>
        </w:numPr>
        <w:rPr/>
      </w:pPr>
      <w:r>
        <w:rPr/>
        <w:t>All remaining Current Firm Customers’ service agreements will expire within six months of the effective date of the next rate case.</w:t>
      </w:r>
    </w:p>
    <w:p>
      <w:pPr>
        <w:pStyle w:val="Normal"/>
        <w:numPr>
          <w:ilvl w:val="0"/>
          <w:numId w:val="1"/>
        </w:numPr>
        <w:rPr/>
      </w:pPr>
      <w:r>
        <w:rPr/>
        <w:t>Costs allocations could be affected by new FERC rulings.</w:t>
      </w:r>
    </w:p>
    <w:p>
      <w:pPr>
        <w:pStyle w:val="Normal"/>
        <w:numPr>
          <w:ilvl w:val="0"/>
          <w:numId w:val="1"/>
        </w:numP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3"/>
        </w:numPr>
        <w:rPr/>
      </w:pPr>
      <w:r>
        <w:rPr/>
        <w:t>Regulatory trends/outlook</w:t>
      </w:r>
    </w:p>
    <w:p>
      <w:pPr>
        <w:pStyle w:val="Normal"/>
        <w:numPr>
          <w:ilvl w:val="0"/>
          <w:numId w:val="1"/>
        </w:numPr>
        <w:rPr/>
      </w:pPr>
      <w:r>
        <w:rPr/>
        <w:t>FERC Order No. 637:  Transwestern currently has a compliance filing made with the FERC.  The major issues include segmenting and mandatory cash-outs for imbalances.  FERC is proned to favor both of these issues.</w:t>
      </w:r>
    </w:p>
    <w:p>
      <w:pPr>
        <w:pStyle w:val="Normal"/>
        <w:numPr>
          <w:ilvl w:val="0"/>
          <w:numId w:val="1"/>
        </w:numP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993"/>
      <w:numFmt w:val="bullet"/>
      <w:lvlText w:val=""/>
      <w:lvlJc w:val="start"/>
      <w:pPr>
        <w:tabs>
          <w:tab w:val="num" w:pos="2160"/>
        </w:tabs>
        <w:ind w:start="2160" w:hanging="720"/>
      </w:pPr>
      <w:rPr>
        <w:rFonts w:ascii="Symbol" w:hAnsi="Symbol" w:cs="Symbol" w:hint="default"/>
      </w:rPr>
    </w:lvl>
    <w:lvl w:ilvl="1">
      <w:start w:val="1996"/>
      <w:numFmt w:val="bullet"/>
      <w:lvlText w:val="-"/>
      <w:lvlJc w:val="start"/>
      <w:pPr>
        <w:tabs>
          <w:tab w:val="num" w:pos="2520"/>
        </w:tabs>
        <w:ind w:start="25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960"/>
        </w:tabs>
        <w:ind w:star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4680"/>
        </w:tabs>
        <w:ind w:star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5400"/>
        </w:tabs>
        <w:ind w:star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6120"/>
        </w:tabs>
        <w:ind w:star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840"/>
        </w:tabs>
        <w:ind w:star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7560"/>
        </w:tabs>
        <w:ind w:start="756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4"/>
      <w:numFmt w:val="decimal"/>
      <w:lvlText w:val="%1.%2"/>
      <w:lvlJc w:val="start"/>
      <w:pPr>
        <w:tabs>
          <w:tab w:val="num" w:pos="720"/>
        </w:tabs>
        <w:ind w:start="72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72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1080"/>
        </w:tabs>
        <w:ind w:start="1080" w:hanging="1080"/>
      </w:pPr>
      <w:rPr/>
    </w:lvl>
    <w:lvl w:ilvl="5">
      <w:start w:val="1"/>
      <w:numFmt w:val="decimal"/>
      <w:lvlText w:val="%1.%2.%3.%4.%5.%6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800"/>
        </w:tabs>
        <w:ind w:start="1800" w:hanging="180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  <w:lvl w:ilvl="1">
      <w:start w:val="4"/>
      <w:numFmt w:val="decimal"/>
      <w:lvlText w:val="%1.%2."/>
      <w:lvlJc w:val="start"/>
      <w:pPr>
        <w:tabs>
          <w:tab w:val="num" w:pos="1080"/>
        </w:tabs>
        <w:ind w:start="1080" w:hanging="720"/>
      </w:pPr>
      <w:rPr/>
    </w:lvl>
    <w:lvl w:ilvl="2">
      <w:start w:val="1"/>
      <w:numFmt w:val="decimal"/>
      <w:lvlText w:val="%1.%2.%3."/>
      <w:lvlJc w:val="start"/>
      <w:pPr>
        <w:tabs>
          <w:tab w:val="num" w:pos="1440"/>
        </w:tabs>
        <w:ind w:start="1440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1800"/>
        </w:tabs>
        <w:ind w:start="1800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2520"/>
        </w:tabs>
        <w:ind w:start="2520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2880"/>
        </w:tabs>
        <w:ind w:start="2880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600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3960"/>
        </w:tabs>
        <w:ind w:start="3960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4680"/>
        </w:tabs>
        <w:ind w:start="4680" w:hanging="180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Times New Roman" w:hAnsi="Times New Roman" w:eastAsia="Times New Roman" w:cs="Times New Roman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2002-01-03T18:33:00Z</dcterms:created>
  <dc:creator>Jeanette Doll</dc:creator>
  <dc:description/>
  <dc:language>en-CA</dc:language>
  <cp:lastModifiedBy>Jeanette Doll</cp:lastModifiedBy>
  <cp:lastPrinted>2002-01-03T17:15:00Z</cp:lastPrinted>
  <dcterms:modified xsi:type="dcterms:W3CDTF">2002-01-03T20:55:00Z</dcterms:modified>
  <cp:revision>5</cp:revision>
  <dc:subject/>
  <dc:title>Transwestern Pipeline Company</dc:title>
</cp:coreProperties>
</file>