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rPr>
      </w:pPr>
      <w:r>
        <w:rPr>
          <w:color w:val="008000"/>
        </w:rPr>
        <w:t>Transwestern Pipeline Company</w:t>
      </w:r>
    </w:p>
    <w:p>
      <w:pPr>
        <w:pStyle w:val="Heading1"/>
        <w:ind w:hanging="0" w:start="0"/>
        <w:rPr>
          <w:color w:val="008000"/>
        </w:rPr>
      </w:pPr>
      <w:r>
        <w:rPr>
          <w:color w:val="008000"/>
        </w:rPr>
        <w:t>Current Regulatory Regime</w:t>
      </w:r>
    </w:p>
    <w:p>
      <w:pPr>
        <w:pStyle w:val="Normal"/>
        <w:rPr>
          <w:color w:val="008000"/>
        </w:rPr>
      </w:pPr>
      <w:r>
        <w:rPr>
          <w:color w:val="008000"/>
        </w:rPr>
      </w:r>
    </w:p>
    <w:p>
      <w:pPr>
        <w:pStyle w:val="Normal"/>
        <w:jc w:val="both"/>
        <w:rPr>
          <w:rFonts w:cs="Arial"/>
        </w:rPr>
      </w:pPr>
      <w:r>
        <w:rPr>
          <w:rFonts w:cs="Arial"/>
        </w:rPr>
      </w:r>
    </w:p>
    <w:p>
      <w:pPr>
        <w:pStyle w:val="Normal"/>
        <w:jc w:val="both"/>
        <w:rPr>
          <w:rFonts w:cs="Arial"/>
        </w:rPr>
      </w:pPr>
      <w:r>
        <w:rPr>
          <w:rFonts w:cs="Arial"/>
        </w:rPr>
        <w:t>As an interstate natural gas pipeline, Transwestern’s rates, services and operations are subject to regulation by the FERC, an independent agency within the Department of Energy.  The FERC administers, among other things, the Natural Gas Act and the Natural Gas Policy Act.  Additionally, interstate pipeline companies are subject to regulation by the Department of Transportation pursuant to the Natural Gas Pipeline Safety Act, which authorizes safety requirements in the design, construction, operations and maintenance of interstate natural gas transmission facilities.</w:t>
      </w:r>
    </w:p>
    <w:p>
      <w:pPr>
        <w:pStyle w:val="Normal"/>
        <w:jc w:val="both"/>
        <w:rPr>
          <w:rFonts w:cs="Arial"/>
        </w:rPr>
      </w:pPr>
      <w:r>
        <w:rPr>
          <w:rFonts w:cs="Arial"/>
        </w:rPr>
      </w:r>
    </w:p>
    <w:p>
      <w:pPr>
        <w:pStyle w:val="Normal"/>
        <w:jc w:val="both"/>
        <w:rPr>
          <w:rFonts w:cs="Arial"/>
        </w:rPr>
      </w:pPr>
      <w:r>
        <w:rPr>
          <w:rFonts w:cs="Arial"/>
        </w:rPr>
        <w:t>The FERC has jurisdiction over, among other things, the construction and operation of pipelines and related facilities used in the transportation, storage and sale for resale of natural gas in interstate commerce, including the extension, enlargement or abandonment of such facilities.  The FERC also has jurisdiction over the rates and charges for the transportation of natural gas in interstate commerce and the sale by a natural gas company of natural gas in interstate commerce for resale.</w:t>
      </w:r>
    </w:p>
    <w:p>
      <w:pPr>
        <w:pStyle w:val="Normal"/>
        <w:jc w:val="both"/>
        <w:rPr>
          <w:rFonts w:cs="Arial"/>
        </w:rPr>
      </w:pPr>
      <w:r>
        <w:rPr>
          <w:rFonts w:cs="Arial"/>
        </w:rPr>
      </w:r>
    </w:p>
    <w:p>
      <w:pPr>
        <w:pStyle w:val="Normal"/>
        <w:jc w:val="both"/>
        <w:rPr>
          <w:rFonts w:cs="Arial"/>
        </w:rPr>
      </w:pPr>
      <w:r>
        <w:rPr>
          <w:rFonts w:cs="Arial"/>
        </w:rPr>
        <w:t>Beginning in the mid-1980’s, the FERC issued a series of orders, culminating in Order 636, that have significantly altered the natural gas marketing and transportation industry.  Order 636 mandated a fundamental restructuring of interstate pipelines sales and transportation service, including unbundling by interstate pipelines of the sale, transportation, storage and other components of the city-gate sales services formerly performed by interstate pipelines, ant the provision by interstate pipelines of open access transportation on a non-discriminatory basis.  Order 636 also requires interstate pipelines to assign capacity rights they had on upstream pipelines to such pipelines’ former sales customers and provides for the recovery by interstate pipelines of costs associated with the transition from providing bundled sales services to providing unbundled transportation and storage services.  In connection with Order 636, interstate pipelines are also required to separate their marketing and transportation functions, and to abide by certain detailed standards of conduct including limitations on the sharing of certain employees, prohibitions on dissemination of certain transportation –related information, and requirements for posting certain information on widely accessible sites.  These standards of conduct are designed by the FERC to ensure that pipelines cannot grant preferential access to transportation or other preferential treatment to their affiliates engaged in the marketing or brokering of natural gas.  The FERC’s principal purpose in promulgating Order 636 and related rules governing pipeline standards of conduct with respect to marketing affiliates was to introduce more competition in all phases of the natural gas industry.</w:t>
      </w:r>
    </w:p>
    <w:p>
      <w:pPr>
        <w:pStyle w:val="Normal"/>
        <w:jc w:val="both"/>
        <w:rPr>
          <w:rFonts w:cs="Arial"/>
        </w:rPr>
      </w:pPr>
      <w:r>
        <w:rPr>
          <w:rFonts w:cs="Arial"/>
        </w:rPr>
      </w:r>
    </w:p>
    <w:p>
      <w:pPr>
        <w:pStyle w:val="Normal"/>
        <w:rPr/>
      </w:pPr>
      <w:r>
        <w:rPr>
          <w:rFonts w:cs="Arial"/>
        </w:rPr>
        <w:t xml:space="preserve">In 1994, the FERC approved Transwestern’s rate case settlement (Docket No. RP93-34) that implemented the currently effective tariff rates using the Straight Fixed Variable (SFV) rate design mandated by Order No. 636.  The rate case settlement also set up Transwestern’s currently effective rate areas, which allow Transwestern to charged path-based transportation rates.  In addition, </w:t>
      </w:r>
      <w:r>
        <w:rPr/>
        <w:t>Transwestern would begin the process of identifying its production and gathering facilities, and costs were allocated from transportation services to field area services.  The rate case settlement also contained an agreement to address a few outstanding Order No. 636 issues at a later technical conference.</w:t>
      </w:r>
    </w:p>
    <w:p>
      <w:pPr>
        <w:pStyle w:val="Normal"/>
        <w:rPr>
          <w:rFonts w:cs="Arial"/>
        </w:rPr>
      </w:pPr>
      <w:r>
        <w:rPr>
          <w:rFonts w:cs="Arial"/>
        </w:rPr>
      </w:r>
    </w:p>
    <w:p>
      <w:pPr>
        <w:pStyle w:val="Normal"/>
        <w:jc w:val="both"/>
        <w:rPr/>
      </w:pPr>
      <w:r>
        <w:rPr>
          <w:rFonts w:cs="Times New Roman"/>
        </w:rPr>
        <w:t xml:space="preserve"> </w:t>
      </w:r>
      <w:r>
        <w:rPr>
          <w:rFonts w:cs="Arial"/>
        </w:rPr>
        <w:t>On July 27, 1995 and on October 16, 1996, FERC respectively approved Transwestern’s 1995 Global Settlement and 1996 Mini- Settlement (Docket Nos. RP95-271, et.al).  These two settlements resolved all issues related to Southern California Gas Company’s (SoCal) turnback capacity costs, all outstanding issues in the Company’s Order 636 restructuring proceeding, its pending certificate proceedings relating to the abandonment of gathering facilities and other rate proceedings.</w:t>
      </w:r>
    </w:p>
    <w:p>
      <w:pPr>
        <w:pStyle w:val="Normal"/>
        <w:jc w:val="both"/>
        <w:rPr>
          <w:rFonts w:cs="Arial"/>
        </w:rPr>
      </w:pPr>
      <w:r>
        <w:rPr>
          <w:rFonts w:cs="Arial"/>
        </w:rPr>
      </w:r>
    </w:p>
    <w:p>
      <w:pPr>
        <w:pStyle w:val="Normal"/>
        <w:jc w:val="both"/>
        <w:rPr/>
      </w:pPr>
      <w:r>
        <w:rPr>
          <w:rFonts w:cs="Arial"/>
        </w:rPr>
        <w:t>The Global Settlement established Settlement Base Rates (SBR) applicable to seven shippers, specified as Current Firm Customers (CFC).  The SBRs are applicable for the term of each CFCs service agreement subject to an escalation factor calculated annually each November 1</w:t>
      </w:r>
      <w:r>
        <w:rPr>
          <w:rFonts w:cs="Arial"/>
          <w:vertAlign w:val="superscript"/>
        </w:rPr>
        <w:t>st</w:t>
      </w:r>
      <w:r>
        <w:rPr>
          <w:rFonts w:cs="Arial"/>
        </w:rPr>
        <w:t>.  The escalation factor is calculated using the implicit price deflator to the Gross Domestic Product and has a floor of 2% and a ceiling of 5%.  The Global Settlement also provided for a five-year sharing mechanism between Transwestern and the CFCs to resolve all issues related the SoCal’s relinquished capacity.  That sharing mechanism ended on October 31, 2001.  The Global Settlement also provided for Transwestern to make its next rate filing to be effective no later than November 1, 2006.  All of the CFCs current service agreements will expire within six months of that November, 2006 effective date.</w:t>
      </w:r>
    </w:p>
    <w:p>
      <w:pPr>
        <w:pStyle w:val="Normal"/>
        <w:jc w:val="both"/>
        <w:rPr>
          <w:rFonts w:cs="Arial"/>
        </w:rPr>
      </w:pPr>
      <w:r>
        <w:rPr>
          <w:rFonts w:cs="Arial"/>
        </w:rPr>
      </w:r>
    </w:p>
    <w:p>
      <w:pPr>
        <w:pStyle w:val="Normal"/>
        <w:jc w:val="both"/>
        <w:rPr>
          <w:rFonts w:cs="Arial"/>
        </w:rPr>
      </w:pPr>
      <w:r>
        <w:rPr>
          <w:rFonts w:cs="Arial"/>
        </w:rPr>
        <w:t>The Mini- Settlement provided for a one-time adjustment to the Global Settlement Base Rates.  It reduced the depreciation of mainline transmission facilities from 1.7% to 1.2% and established an amortization mechanism for certain costs, including some regulatory amortizations.</w:t>
      </w:r>
    </w:p>
    <w:p>
      <w:pPr>
        <w:pStyle w:val="Normal"/>
        <w:jc w:val="both"/>
        <w:rPr>
          <w:rFonts w:cs="Arial"/>
        </w:rPr>
      </w:pPr>
      <w:r>
        <w:rPr>
          <w:rFonts w:cs="Arial"/>
        </w:rPr>
      </w:r>
    </w:p>
    <w:p>
      <w:pPr>
        <w:pStyle w:val="Normal"/>
        <w:jc w:val="both"/>
        <w:rPr>
          <w:rFonts w:cs="Arial"/>
        </w:rPr>
      </w:pPr>
      <w:r>
        <w:rPr>
          <w:rFonts w:cs="Arial"/>
        </w:rPr>
        <w:t xml:space="preserve">Transwestern has successfully completed its transition under Order 636, completely unbundling its transportation services and eliminating its sales service obligation as required by Order 636.  </w:t>
      </w:r>
    </w:p>
    <w:p>
      <w:pPr>
        <w:pStyle w:val="Normal"/>
        <w:jc w:val="both"/>
        <w:rPr>
          <w:rFonts w:cs="Arial"/>
        </w:rPr>
      </w:pPr>
      <w:r>
        <w:rPr>
          <w:rFonts w:cs="Arial"/>
        </w:rPr>
      </w:r>
    </w:p>
    <w:p>
      <w:pPr>
        <w:pStyle w:val="Normal"/>
        <w:jc w:val="both"/>
        <w:rPr>
          <w:rFonts w:cs="Arial"/>
        </w:rPr>
      </w:pPr>
      <w:r>
        <w:rPr>
          <w:rFonts w:cs="Arial"/>
        </w:rPr>
        <w:t>The FERC continues to reexamine and refine its implementation of Order 636 and related policies in light of industry experience.  In April 1998, the FERC issued a new rule to further standardize pipeline transportation tariffs that, as the result of newly standardized provisions regarding firm intra-day transportation nomination, could adversely affect the reliability of interstate pipelines’ scheduled interruptible transportation service, and perhaps render that service less valuable to shippers.  The FERC has recently issued new proposed rules and a notice of inquiry concerning additional changes it is considering ordering with respect to terms and conditions of interstate pipeline transportation service.  Among other matters, the proposal would eliminate rate regulation in the short-term (less than one year) transportation and capacity release markets, and require all available short-term firm and interruptible pipeline capacity to be allocated through an auction.  The inquiry requests comments on a broad range of existing FERC policies concerning long-term transportation, including the FERC’s certificate policies, current cost-based rate-making policies and the desirability of the use of alternatives such as performance-based rates, or market based rates for pricing pipeline capacity.  The proposals and inquiry are intended to adapt the FERC’s transportation policies to the increasingly competitive transportation market.  In addition, in July 1998, the FERC issued proposed rules intended to expedite the resolution of complaints, including those filed under the Natural Gas Act and Natural Gas Policy Act.</w:t>
      </w:r>
    </w:p>
    <w:p>
      <w:pPr>
        <w:pStyle w:val="Normal"/>
        <w:jc w:val="both"/>
        <w:rPr>
          <w:rFonts w:cs="Arial"/>
        </w:rPr>
      </w:pPr>
      <w:r>
        <w:rPr>
          <w:rFonts w:cs="Arial"/>
        </w:rPr>
      </w:r>
    </w:p>
    <w:p>
      <w:pPr>
        <w:pStyle w:val="Normal"/>
        <w:jc w:val="both"/>
        <w:rPr>
          <w:rFonts w:cs="Arial"/>
        </w:rPr>
      </w:pPr>
      <w:r>
        <w:rPr>
          <w:rFonts w:cs="Arial"/>
        </w:rPr>
        <w:t>Additional proposals and proceedings that might affect the interstate pipeline industry are considered from time to time by Congress, the FERC, state regulatory bodies and the courts.  Transwestern cannot predict when or if any new proposals might be implemented, or if so, how Transwestern might be affected.</w:t>
      </w:r>
    </w:p>
    <w:p>
      <w:pPr>
        <w:pStyle w:val="Normal"/>
        <w:jc w:val="both"/>
        <w:rPr>
          <w:rFonts w:cs="Arial"/>
        </w:rPr>
      </w:pPr>
      <w:r>
        <w:rPr>
          <w:rFonts w:cs="Arial"/>
        </w:rPr>
      </w:r>
    </w:p>
    <w:p>
      <w:pPr>
        <w:pStyle w:val="Normal"/>
        <w:jc w:val="both"/>
        <w:rPr>
          <w:rFonts w:cs="Arial"/>
        </w:rPr>
      </w:pPr>
      <w:r>
        <w:rPr>
          <w:rFonts w:cs="Arial"/>
        </w:rPr>
        <w:t>In addition to regulation by the FERC, Transwestern is also subject to various federal, state, and local laws and regulations whose purpose it is to conserve or protect wildlife, natural resources, human health and the environment.  Moreover, Transwestern is subject to federal and state laws and regulations whose purpose is to maintain the safety of workers, both generally and within the pipeline industry.  Transwestern has an internal program of inspection designed to monitor and enforce compliance with pollution control and pipeline safety requirements.</w:t>
      </w:r>
    </w:p>
    <w:p>
      <w:pPr>
        <w:pStyle w:val="BodyText"/>
        <w:jc w:val="both"/>
        <w:rPr>
          <w:rFonts w:cs="Arial"/>
        </w:rPr>
      </w:pPr>
      <w:r>
        <w:rPr>
          <w:rFonts w:cs="Arial"/>
        </w:rPr>
      </w:r>
    </w:p>
    <w:p>
      <w:pPr>
        <w:pStyle w:val="Normal"/>
        <w:rPr>
          <w:rFonts w:ascii="Arial Unicode MS" w:hAnsi="Arial Unicode MS" w:eastAsia="Arial Unicode MS" w:cs="Arial Unicode MS"/>
          <w:vanish/>
          <w:color w:val="000000"/>
        </w:rPr>
      </w:pPr>
      <w:r>
        <w:rPr>
          <w:rFonts w:eastAsia="Arial Unicode MS" w:cs="Arial Unicode MS" w:ascii="Arial Unicode MS" w:hAnsi="Arial Unicode MS"/>
          <w:vanish/>
          <w:color w:val="000000"/>
        </w:rPr>
      </w:r>
    </w:p>
    <w:p>
      <w:pPr>
        <w:pStyle w:val="Normal"/>
        <w:rPr>
          <w:rFonts w:ascii="Arial Unicode MS" w:hAnsi="Arial Unicode MS" w:eastAsia="Arial Unicode MS" w:cs="Arial Unicode MS"/>
          <w:vanish/>
          <w:color w:val="000000"/>
        </w:rPr>
      </w:pPr>
      <w:r>
        <w:rPr>
          <w:rFonts w:eastAsia="Arial Unicode MS" w:cs="Arial Unicode MS" w:ascii="Arial Unicode MS" w:hAnsi="Arial Unicode MS"/>
          <w:vanish/>
          <w:color w:val="000000"/>
        </w:rPr>
      </w:r>
    </w:p>
    <w:p>
      <w:pPr>
        <w:pStyle w:val="Normal"/>
        <w:rPr>
          <w:rFonts w:ascii="Arial Unicode MS" w:hAnsi="Arial Unicode MS" w:eastAsia="Arial Unicode MS" w:cs="Arial Unicode MS"/>
          <w:vanish/>
          <w:color w:val="000000"/>
        </w:rPr>
      </w:pPr>
      <w:r>
        <w:rPr>
          <w:rFonts w:eastAsia="Arial Unicode MS" w:cs="Arial Unicode MS" w:ascii="Arial Unicode MS" w:hAnsi="Arial Unicode MS"/>
          <w:vanish/>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Webdings">
    <w:charset w:val="0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numPr>
        <w:ilvl w:val="0"/>
        <w:numId w:val="1"/>
      </w:numPr>
      <w:autoSpaceDE w:val="false"/>
      <w:jc w:val="center"/>
      <w:outlineLvl w:val="0"/>
    </w:pPr>
    <w:rPr>
      <w:rFonts w:ascii="Arial" w:hAnsi="Arial" w:cs="Arial"/>
      <w:b/>
      <w:bCs/>
      <w:color w:val="008240"/>
      <w:sz w:val="28"/>
      <w:szCs w:val="28"/>
    </w:rPr>
  </w:style>
  <w:style w:type="paragraph" w:styleId="Heading2">
    <w:name w:val="heading 2"/>
    <w:basedOn w:val="Normal"/>
    <w:next w:val="Normal"/>
    <w:qFormat/>
    <w:pPr>
      <w:numPr>
        <w:ilvl w:val="1"/>
        <w:numId w:val="1"/>
      </w:numPr>
      <w:autoSpaceDE w:val="false"/>
      <w:ind w:hanging="181" w:start="181" w:end="0"/>
      <w:outlineLvl w:val="1"/>
    </w:pPr>
    <w:rPr>
      <w:rFonts w:ascii="Arial" w:hAnsi="Arial" w:cs="Arial"/>
      <w:color w:val="000000"/>
    </w:rPr>
  </w:style>
  <w:style w:type="paragraph" w:styleId="Heading3">
    <w:name w:val="heading 3"/>
    <w:basedOn w:val="Normal"/>
    <w:next w:val="Normal"/>
    <w:qFormat/>
    <w:pPr>
      <w:numPr>
        <w:ilvl w:val="2"/>
        <w:numId w:val="1"/>
      </w:numPr>
      <w:autoSpaceDE w:val="false"/>
      <w:ind w:hanging="131" w:start="402" w:end="0"/>
      <w:outlineLvl w:val="2"/>
    </w:pPr>
    <w:rPr>
      <w:rFonts w:ascii="Arial" w:hAnsi="Arial" w:cs="Arial"/>
      <w:color w:val="000000"/>
      <w:sz w:val="20"/>
      <w:szCs w:val="20"/>
    </w:rPr>
  </w:style>
  <w:style w:type="paragraph" w:styleId="Heading4">
    <w:name w:val="heading 4"/>
    <w:basedOn w:val="Normal"/>
    <w:next w:val="Normal"/>
    <w:qFormat/>
    <w:pPr>
      <w:numPr>
        <w:ilvl w:val="3"/>
        <w:numId w:val="1"/>
      </w:numPr>
      <w:autoSpaceDE w:val="false"/>
      <w:ind w:hanging="136" w:start="628" w:end="0"/>
      <w:outlineLvl w:val="3"/>
    </w:pPr>
    <w:rPr>
      <w:rFonts w:ascii="Arial" w:hAnsi="Arial" w:cs="Arial"/>
      <w:color w:val="000000"/>
      <w:sz w:val="18"/>
      <w:szCs w:val="18"/>
    </w:rPr>
  </w:style>
  <w:style w:type="paragraph" w:styleId="Heading5">
    <w:name w:val="heading 5"/>
    <w:basedOn w:val="Normal"/>
    <w:next w:val="Normal"/>
    <w:qFormat/>
    <w:pPr>
      <w:numPr>
        <w:ilvl w:val="4"/>
        <w:numId w:val="1"/>
      </w:numPr>
      <w:autoSpaceDE w:val="false"/>
      <w:ind w:hanging="135" w:start="853" w:end="0"/>
      <w:outlineLvl w:val="4"/>
    </w:pPr>
    <w:rPr>
      <w:rFonts w:ascii="Arial" w:hAnsi="Arial" w:cs="Arial"/>
      <w:color w:val="000000"/>
      <w:sz w:val="16"/>
      <w:szCs w:val="16"/>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St1z0">
    <w:name w:val="WW8NumSt1z0"/>
    <w:qFormat/>
    <w:rPr>
      <w:rFonts w:ascii="Webdings" w:hAnsi="Webdings" w:cs="Webdings"/>
      <w:sz w:val="24"/>
    </w:rPr>
  </w:style>
  <w:style w:type="character" w:styleId="WW8NumSt2z0">
    <w:name w:val="WW8NumSt2z0"/>
    <w:qFormat/>
    <w:rPr>
      <w:rFonts w:ascii="Arial" w:hAnsi="Arial" w:cs="Arial"/>
      <w:sz w:val="20"/>
    </w:rPr>
  </w:style>
  <w:style w:type="character" w:styleId="WW8NumSt3z0">
    <w:name w:val="WW8NumSt3z0"/>
    <w:qFormat/>
    <w:rPr>
      <w:rFonts w:ascii="Webdings" w:hAnsi="Webdings" w:cs="Webdings"/>
      <w:sz w:val="20"/>
    </w:rPr>
  </w:style>
  <w:style w:type="character" w:styleId="WW8NumSt4z0">
    <w:name w:val="WW8NumSt4z0"/>
    <w:qFormat/>
    <w:rPr>
      <w:rFonts w:ascii="Arial" w:hAnsi="Arial" w:cs="Arial"/>
      <w:sz w:val="18"/>
    </w:rPr>
  </w:style>
  <w:style w:type="character" w:styleId="WW8NumSt5z0">
    <w:name w:val="WW8NumSt5z0"/>
    <w:qFormat/>
    <w:rPr>
      <w:rFonts w:ascii="Wingdings" w:hAnsi="Wingdings" w:cs="Wingdings"/>
      <w:sz w:val="16"/>
    </w:rPr>
  </w:style>
  <w:style w:type="character" w:styleId="WW8NumSt6z0">
    <w:name w:val="WW8NumSt6z0"/>
    <w:qFormat/>
    <w:rPr>
      <w:rFonts w:ascii="Wingdings" w:hAnsi="Wingdings" w:cs="Wingdings"/>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2002-02-21T18:54:00Z</dcterms:created>
  <dc:creator>Jeanette Doll</dc:creator>
  <dc:description/>
  <dc:language>en-CA</dc:language>
  <cp:lastModifiedBy>Jeanette Doll</cp:lastModifiedBy>
  <dcterms:modified xsi:type="dcterms:W3CDTF">2002-02-22T16:37:00Z</dcterms:modified>
  <cp:revision>6</cp:revision>
  <dc:subject/>
  <dc:title>Current Regulatory Regime</dc:title>
</cp:coreProperties>
</file>