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szCs w:val="22"/>
        </w:rPr>
      </w:pPr>
      <w:r>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Normal"/>
        <w:jc w:val="center"/>
        <w:rPr>
          <w:b/>
          <w:bCs/>
          <w:sz w:val="24"/>
          <w:szCs w:val="24"/>
        </w:rPr>
      </w:pPr>
      <w:r>
        <w:rPr>
          <w:b/>
          <w:bCs/>
          <w:sz w:val="24"/>
          <w:szCs w:val="24"/>
        </w:rPr>
      </w:r>
    </w:p>
    <w:tbl>
      <w:tblPr>
        <w:tblW w:w="9324" w:type="dxa"/>
        <w:jc w:val="start"/>
        <w:tblInd w:w="108" w:type="dxa"/>
        <w:tblLayout w:type="fixed"/>
        <w:tblCellMar>
          <w:top w:w="0" w:type="dxa"/>
          <w:start w:w="108" w:type="dxa"/>
          <w:bottom w:w="0" w:type="dxa"/>
          <w:end w:w="108" w:type="dxa"/>
        </w:tblCellMar>
      </w:tblPr>
      <w:tblGrid>
        <w:gridCol w:w="1440"/>
        <w:gridCol w:w="3744"/>
        <w:gridCol w:w="1232"/>
        <w:gridCol w:w="307"/>
        <w:gridCol w:w="514"/>
        <w:gridCol w:w="2087"/>
      </w:tblGrid>
      <w:tr>
        <w:trPr>
          <w:trHeight w:val="320" w:hRule="atLeas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To:</w:t>
            </w:r>
          </w:p>
        </w:tc>
        <w:tc>
          <w:tcPr>
            <w:tcW w:w="3744" w:type="dxa"/>
            <w:tcBorders/>
          </w:tcPr>
          <w:p>
            <w:pPr>
              <w:pStyle w:val="To"/>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2053" w:type="dxa"/>
            <w:gridSpan w:val="3"/>
            <w:tcBorders/>
          </w:tcPr>
          <w:p>
            <w:pPr>
              <w:pStyle w:val="Norma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269" w:hRule="exact"/>
        </w:trPr>
        <w:tc>
          <w:tcPr>
            <w:tcW w:w="1440" w:type="dxa"/>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cPr>
          <w:p>
            <w:pPr>
              <w:pStyle w:val="Normal"/>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300" w:hRule="exac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From:</w:t>
            </w:r>
          </w:p>
        </w:tc>
        <w:tc>
          <w:tcPr>
            <w:tcW w:w="3744" w:type="dxa"/>
            <w:tcBorders/>
          </w:tcPr>
          <w:p>
            <w:pPr>
              <w:pStyle w:val="From"/>
              <w:rPr>
                <w:rFonts w:ascii="Times New Roman" w:hAnsi="Times New Roman" w:eastAsia="Times New Roman" w:cs="Times New Roman"/>
                <w:sz w:val="22"/>
                <w:szCs w:val="22"/>
              </w:rPr>
            </w:pPr>
            <w:r>
              <w:rPr>
                <w:rFonts w:eastAsia="Times New Roman" w:cs="Times New Roman" w:ascii="Times New Roman" w:hAnsi="Times New Roman"/>
                <w:sz w:val="22"/>
                <w:szCs w:val="22"/>
              </w:rPr>
              <w:t>Jan Butler</w:t>
            </w:r>
          </w:p>
        </w:tc>
        <w:tc>
          <w:tcPr>
            <w:tcW w:w="1539" w:type="dxa"/>
            <w:gridSpan w:val="2"/>
            <w:tcBorders/>
          </w:tcPr>
          <w:p>
            <w:pPr>
              <w:pStyle w:val="Normal"/>
              <w:snapToGrid w:val="false"/>
              <w:ind w:start="-180" w:end="0"/>
              <w:jc w:val="end"/>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601" w:type="dxa"/>
            <w:gridSpan w:val="2"/>
            <w:tcBorders/>
          </w:tcPr>
          <w:p>
            <w:pPr>
              <w:pStyle w:val="Department"/>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cPr>
          <w:p>
            <w:pPr>
              <w:pStyle w:val="Normal"/>
              <w:tabs>
                <w:tab w:val="clear" w:pos="720"/>
                <w:tab w:val="left" w:pos="-108" w:leader="none"/>
              </w:tabs>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641" w:hRule="exac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Subject:</w:t>
            </w:r>
          </w:p>
        </w:tc>
        <w:tc>
          <w:tcPr>
            <w:tcW w:w="3744" w:type="dxa"/>
            <w:tcBorders/>
          </w:tcPr>
          <w:p>
            <w:pPr>
              <w:pStyle w:val="Subject"/>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t>Protests to Transwestern's</w:t>
            </w:r>
          </w:p>
          <w:p>
            <w:pPr>
              <w:pStyle w:val="Subject"/>
              <w:rPr>
                <w:rFonts w:ascii="Times New Roman" w:hAnsi="Times New Roman" w:eastAsia="Times New Roman" w:cs="Times New Roman"/>
                <w:sz w:val="22"/>
                <w:szCs w:val="22"/>
              </w:rPr>
            </w:pPr>
            <w:r>
              <w:rPr>
                <w:rFonts w:eastAsia="Times New Roman" w:cs="Times New Roman" w:ascii="Times New Roman" w:hAnsi="Times New Roman"/>
                <w:b/>
                <w:bCs/>
                <w:sz w:val="22"/>
                <w:szCs w:val="22"/>
              </w:rPr>
              <w:t>Order 637/A Filing, RP00-490</w:t>
            </w:r>
          </w:p>
        </w:tc>
        <w:tc>
          <w:tcPr>
            <w:tcW w:w="1232" w:type="dxa"/>
            <w:tcBorders/>
          </w:tcPr>
          <w:p>
            <w:pPr>
              <w:pStyle w:val="Normal"/>
              <w:ind w:start="44"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Date:</w:t>
            </w:r>
          </w:p>
        </w:tc>
        <w:tc>
          <w:tcPr>
            <w:tcW w:w="2908" w:type="dxa"/>
            <w:gridSpan w:val="3"/>
            <w:tcBorders/>
          </w:tcPr>
          <w:p>
            <w:pPr>
              <w:pStyle w:val="Date"/>
              <w:rPr>
                <w:rFonts w:ascii="Times New Roman" w:hAnsi="Times New Roman" w:eastAsia="Times New Roman" w:cs="Times New Roman"/>
                <w:sz w:val="22"/>
                <w:szCs w:val="22"/>
              </w:rPr>
            </w:pPr>
            <w:r>
              <w:rPr>
                <w:rFonts w:eastAsia="Times New Roman" w:cs="Times New Roman" w:ascii="Times New Roman" w:hAnsi="Times New Roman"/>
                <w:sz w:val="22"/>
                <w:szCs w:val="22"/>
              </w:rPr>
              <w:t>September 21, 2000</w:t>
            </w:r>
          </w:p>
        </w:tc>
      </w:tr>
    </w:tbl>
    <w:p>
      <w:pPr>
        <w:pStyle w:val="Normal"/>
        <w:pBdr>
          <w:bottom w:val="single" w:sz="12" w:space="1" w:color="000000"/>
        </w:pBdr>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Executive Summary:</w:t>
      </w:r>
    </w:p>
    <w:p>
      <w:pPr>
        <w:pStyle w:val="Normal"/>
        <w:rPr>
          <w:sz w:val="22"/>
          <w:szCs w:val="22"/>
        </w:rPr>
      </w:pPr>
      <w:r>
        <w:rPr>
          <w:sz w:val="22"/>
          <w:szCs w:val="22"/>
        </w:rPr>
        <w:t>Protestors generally find that TW must allow primary within the path capacity allocation as directed by Order 637-A.  They state that the Global Settlement does not preclude pipelines from complying with segmentation directives.  All protestors argued against the changes to the imbalance provisions finding that the revisions are restrictive and not in compliance with GISB standards (10 days).   Shippers argued that TW admittedly is not experiencing any operational difficulties and have not evidenced the need for imbalance revisions.  Regarding the cash-out mechanism provisions, shippers feel FERC should require evidence of operational threat for the elimination of the in-kind payback option.  Most protestors argued that altering the 10% monthly tolerance on imbalances to 5% daily tolerances contrasts with Order 637.  Lacking a threat to TW's system, changes to the imbalancing procedures seem unnecessary.  AGA filed an intervention and comments in all compliance filings expressing concern over the array of new services presented in these filings with no corresponding expansion of facilities.  AGA suggests that FERC take a larger view when evaluating whether new pipeline offerings aimed at selling components of service are truly in the public interest.</w:t>
      </w:r>
    </w:p>
    <w:p>
      <w:pPr>
        <w:pStyle w:val="Normal"/>
        <w:rPr>
          <w:sz w:val="22"/>
          <w:szCs w:val="22"/>
        </w:rPr>
      </w:pPr>
      <w:r>
        <w:rPr>
          <w:sz w:val="22"/>
          <w:szCs w:val="22"/>
        </w:rPr>
      </w:r>
    </w:p>
    <w:tbl>
      <w:tblPr>
        <w:tblW w:w="8856" w:type="dxa"/>
        <w:jc w:val="start"/>
        <w:tblInd w:w="0" w:type="dxa"/>
        <w:tblLayout w:type="fixed"/>
        <w:tblCellMar>
          <w:top w:w="0" w:type="dxa"/>
          <w:start w:w="108" w:type="dxa"/>
          <w:bottom w:w="0" w:type="dxa"/>
          <w:end w:w="108" w:type="dxa"/>
        </w:tblCellMar>
      </w:tblPr>
      <w:tblGrid>
        <w:gridCol w:w="1818"/>
        <w:gridCol w:w="1980"/>
        <w:gridCol w:w="5058"/>
      </w:tblGrid>
      <w:tr>
        <w:trPr/>
        <w:tc>
          <w:tcPr>
            <w:tcW w:w="1818" w:type="dxa"/>
            <w:tcBorders>
              <w:top w:val="single" w:sz="6" w:space="0" w:color="000000"/>
              <w:start w:val="single" w:sz="6" w:space="0" w:color="000000"/>
              <w:bottom w:val="single" w:sz="6" w:space="0" w:color="000000"/>
              <w:end w:val="single" w:sz="6" w:space="0" w:color="000000"/>
            </w:tcBorders>
          </w:tcPr>
          <w:p>
            <w:pPr>
              <w:pStyle w:val="Normal"/>
              <w:jc w:val="center"/>
              <w:rPr>
                <w:sz w:val="22"/>
                <w:szCs w:val="22"/>
              </w:rPr>
            </w:pPr>
            <w:r>
              <w:rPr>
                <w:sz w:val="22"/>
                <w:szCs w:val="22"/>
              </w:rPr>
              <w:t>Topic</w:t>
            </w:r>
          </w:p>
        </w:tc>
        <w:tc>
          <w:tcPr>
            <w:tcW w:w="1980" w:type="dxa"/>
            <w:tcBorders>
              <w:top w:val="single" w:sz="6" w:space="0" w:color="000000"/>
              <w:start w:val="single" w:sz="6" w:space="0" w:color="000000"/>
              <w:bottom w:val="single" w:sz="6" w:space="0" w:color="000000"/>
              <w:end w:val="single" w:sz="6" w:space="0" w:color="000000"/>
            </w:tcBorders>
          </w:tcPr>
          <w:p>
            <w:pPr>
              <w:pStyle w:val="Normal"/>
              <w:jc w:val="center"/>
              <w:rPr>
                <w:sz w:val="22"/>
                <w:szCs w:val="22"/>
              </w:rPr>
            </w:pPr>
            <w:r>
              <w:rPr>
                <w:sz w:val="22"/>
                <w:szCs w:val="22"/>
              </w:rPr>
              <w:t>Protestor</w:t>
            </w:r>
          </w:p>
        </w:tc>
        <w:tc>
          <w:tcPr>
            <w:tcW w:w="5058" w:type="dxa"/>
            <w:tcBorders>
              <w:top w:val="single" w:sz="6" w:space="0" w:color="000000"/>
              <w:start w:val="single" w:sz="6" w:space="0" w:color="000000"/>
              <w:bottom w:val="single" w:sz="6" w:space="0" w:color="000000"/>
              <w:end w:val="single" w:sz="6" w:space="0" w:color="000000"/>
            </w:tcBorders>
          </w:tcPr>
          <w:p>
            <w:pPr>
              <w:pStyle w:val="Normal"/>
              <w:jc w:val="center"/>
              <w:rPr>
                <w:sz w:val="22"/>
                <w:szCs w:val="22"/>
              </w:rPr>
            </w:pPr>
            <w:r>
              <w:rPr>
                <w:sz w:val="22"/>
                <w:szCs w:val="22"/>
              </w:rPr>
              <w:t>Comments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Segmentation</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Reject and modify, suspend filing or direct technical conference.  Order 637-A made generic determination that pipeline can permit segmentation if operationally feasible - TW's Global Settlement does not preclude segmentation within the path, but guarantees shippers access to points within their contract paths (and leaves open the possibility that shippers access points outside their contract paths.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TW must allow primary within the path capacity allocation.  TW should not be exempted from providing segmenting based on the global settlement.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PG&amp;E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FERC has declared that Global settlements are not impediments to segmentation. FERC should reject TW's proposal not to segment.</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Sempra Energy</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Order 637 requires pipelines to permit segmentation to extent operationally feasible - no demonstration that segmentation not feasible.  Existing tariff or Global Settlements do not preclude segmentation capability.  Other rules, orders and regulations have been complied with during term of settlement.  No cherry picking.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Secondary Point Priority Within the Path</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Not in full compliance.  Limitation affording higher priority to shipper nominating at a secondary point within its path has not been directed by FERC. No demonstration of operational or competitive reasons for limitation.  Shippers argue there is no specificity precluding shippers using backhauls at secondary points in their contract path from having priority over shippers at secondary points outside their paths.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Imbalances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Should require 10 days to pay imbalances without interest accruing.  Revisions to netting procedures too restrictive and contract to GISB standards.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Revisions introduce financial considerations into netting and trading process by assigning dollar value to the volumes to be netted and traded.  Should only be subject to operational considerations.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PNM Gas Services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No evidence that there is operational difficulty.  Order 637 does not require OBA revisions; does require crediting penalty revenues to firm shippers. PNM would not be entitled to penalty revenue credits because they do not have settlement base rates revised each year. TW should be required to credit penalty revenues to all firm shippers on its system - not only those with settlement base rates. </w:t>
            </w:r>
          </w:p>
          <w:p>
            <w:pPr>
              <w:pStyle w:val="Normal"/>
              <w:rPr>
                <w:sz w:val="22"/>
                <w:szCs w:val="22"/>
              </w:rPr>
            </w:pPr>
            <w:r>
              <w:rPr>
                <w:sz w:val="22"/>
                <w:szCs w:val="22"/>
              </w:rPr>
              <w:t>Unclear how operators would benefit by being required to allocate a dollar value to their imbalance columes prior to netting and trading volumes.  Will likely result in inequities between imbalances at various points on the system. It is unclear whether different delivery points will be subject to difference dollar values.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PG&amp;E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Deprives PG&amp;E with method used effectively to resolve imbalances. Reliance on cash-outs could become point of arbitrage.  Changing contractual arrangments unilaterally.</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Sempra Energy</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Proposal creates sole means to reconcile operator imbalances as park and ride schedule; pipeline hub allows assessment of fees for newly created resolution mechanisms; hub provides services which contravene GISB nomination processes; permits leveraging of operator status to create hub capabilities not permitted to other hubs, i.e. SoCalGas; auto-balancing service provides perverse incentives to operator in creating imbalances cashed out at expense of downstream operator.  </w:t>
            </w:r>
          </w:p>
          <w:p>
            <w:pPr>
              <w:pStyle w:val="Normal"/>
              <w:rPr>
                <w:sz w:val="22"/>
                <w:szCs w:val="22"/>
              </w:rPr>
            </w:pPr>
            <w:r>
              <w:rPr>
                <w:sz w:val="22"/>
                <w:szCs w:val="22"/>
              </w:rPr>
              <w:t>Protests unilateral modification of OBAs.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Cashout Mechanism</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FERC should require evidence of operational threat for elimination of the in-kind payback option.  No basis presented for elimination of this option.</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Reject these changes due to lack of justification and counter to Order 637.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PNM Gas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Eliminating in-kind payback does not benefit any entity that previously had such option.  No operational strain recognized.  FERC does not require elimination of in-kind balancing.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Sempra Energy</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Protests proposal to eliminate in-kind payback of imbalances and mandated cash-out imbalances resolution instead.</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Daily Pricing and Tolerance Mechanism</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Altering 10% monthly tolerance currently applicable to imbalances to 5% daily contrasts with directives of Order 637.  No evidence that daily imbalance charges are necessary for reliable service and undermines penalty-crediting mechanism.  Daily charge is punitive; discriminatory.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Current system of imbalancing poses no threat to system stability.  Changes to daily imbalancing procedures unnecessary to maintain reliability; gouges operators for extra fees.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PNM Gas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 xml:space="preserve">Does not appear operator has the choice of incurring a penalty in lieu of charges for PNR service.  It is unclear whether the operator can resolve an imbalance at its own discretion or whether pipeline has ability to determine when and how PNR balance will be resolved. Converting penalty payments into mandatory payments for new services.  </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PG&amp;E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Interconnecting pipeline would be subject to tariffed charges for imbalances under parking and lending services for shippers.  Proposal not required by Order 637.</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Expansion of List</w:t>
            </w:r>
          </w:p>
          <w:p>
            <w:pPr>
              <w:pStyle w:val="Normal"/>
              <w:rPr>
                <w:sz w:val="22"/>
                <w:szCs w:val="22"/>
              </w:rPr>
            </w:pPr>
            <w:r>
              <w:rPr>
                <w:sz w:val="22"/>
                <w:szCs w:val="22"/>
              </w:rPr>
              <w:t>Of Daily Prices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Indicated Shippers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 data provided showing expansion is necessary.  It is unclear how the prices will work; does not appear these indices are published.  Some locations unlike others but no explanation of how these fit into the expanded list.  TW should be required to provide random sampling of imbalance calculations demonstrating source of indices.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New Services</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American Gas Association</w:t>
            </w:r>
          </w:p>
          <w:p>
            <w:pPr>
              <w:pStyle w:val="Normal"/>
              <w:rPr>
                <w:sz w:val="22"/>
                <w:szCs w:val="22"/>
              </w:rPr>
            </w:pPr>
            <w:r>
              <w:rPr>
                <w:sz w:val="22"/>
                <w:szCs w:val="22"/>
              </w:rPr>
            </w:r>
          </w:p>
          <w:p>
            <w:pPr>
              <w:pStyle w:val="Normal"/>
              <w:rPr>
                <w:i/>
                <w:i/>
                <w:iCs/>
                <w:sz w:val="22"/>
                <w:szCs w:val="22"/>
              </w:rPr>
            </w:pPr>
            <w:r>
              <w:rPr>
                <w:i/>
                <w:iCs/>
                <w:sz w:val="22"/>
                <w:szCs w:val="22"/>
              </w:rPr>
              <w:t>Filed with all compliance filings</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Expresses concern over new array of services that will be added with no corresponding expansion of facilities.  Concerned over the impact new services will have on firm service.  May result in degradation of services to the detriment and expense of the consumer.  FERC should take larger view when evaluating whether new pipeline offerings aimed at selling components of service are truly in the public interest.</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Nomination Cycle</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Protests TW's permitting pre-arranged deals not subject to bidding being nominated at the next available nomination cycle.  TW should be required to amend GT&amp;C for biddable releases to enable shippers to acquire released capacity at any of the nominations or intra-day nomination times and permit nominations at the first available nomination time after award of capacity.  TW must allow for nominations during all four nomination opportunities.</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ROFR</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Dynegy Marketing and Trade</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Option constitutes a negotiated term and condition and must be rejected.  Policy does not permit.</w:t>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1980"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c>
          <w:tcPr>
            <w:tcW w:w="5058" w:type="dxa"/>
            <w:tcBorders>
              <w:top w:val="single" w:sz="6" w:space="0" w:color="000000"/>
              <w:start w:val="single" w:sz="6" w:space="0" w:color="000000"/>
              <w:bottom w:val="single" w:sz="6" w:space="0" w:color="000000"/>
              <w:end w:val="single" w:sz="6" w:space="0" w:color="000000"/>
            </w:tcBorders>
          </w:tcPr>
          <w:p>
            <w:pPr>
              <w:pStyle w:val="Normal"/>
              <w:snapToGrid w:val="false"/>
              <w:rPr>
                <w:sz w:val="22"/>
                <w:szCs w:val="22"/>
              </w:rPr>
            </w:pPr>
            <w:r>
              <w:rPr>
                <w:sz w:val="22"/>
                <w:szCs w:val="22"/>
              </w:rPr>
            </w:r>
          </w:p>
        </w:tc>
      </w:tr>
      <w:tr>
        <w:trPr/>
        <w:tc>
          <w:tcPr>
            <w:tcW w:w="181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Technical Conference</w:t>
            </w:r>
          </w:p>
        </w:tc>
        <w:tc>
          <w:tcPr>
            <w:tcW w:w="1980"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Sempra Energy</w:t>
            </w:r>
          </w:p>
        </w:tc>
        <w:tc>
          <w:tcPr>
            <w:tcW w:w="5058" w:type="dxa"/>
            <w:tcBorders>
              <w:top w:val="single" w:sz="6" w:space="0" w:color="000000"/>
              <w:start w:val="single" w:sz="6" w:space="0" w:color="000000"/>
              <w:bottom w:val="single" w:sz="6" w:space="0" w:color="000000"/>
              <w:end w:val="single" w:sz="6" w:space="0" w:color="000000"/>
            </w:tcBorders>
          </w:tcPr>
          <w:p>
            <w:pPr>
              <w:pStyle w:val="Normal"/>
              <w:rPr>
                <w:sz w:val="22"/>
                <w:szCs w:val="22"/>
              </w:rPr>
            </w:pPr>
            <w:r>
              <w:rPr>
                <w:sz w:val="22"/>
                <w:szCs w:val="22"/>
              </w:rPr>
              <w:t>Motion for technical conference.</w:t>
            </w:r>
          </w:p>
        </w:tc>
      </w:tr>
    </w:tbl>
    <w:p>
      <w:pPr>
        <w:pStyle w:val="Normal"/>
        <w:rPr>
          <w:sz w:val="22"/>
          <w:szCs w:val="22"/>
        </w:rPr>
      </w:pPr>
      <w:r>
        <w:rPr>
          <w:sz w:val="22"/>
          <w:szCs w:val="22"/>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Antique Olv (W1)">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TW-Protests-637.doc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add.doc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2000-09-21T17:32:00Z</dcterms:created>
  <dc:creator>Jan Butler</dc:creator>
  <dc:description/>
  <dc:language>en-CA</dc:language>
  <cp:lastModifiedBy>Janet Butler</cp:lastModifiedBy>
  <cp:lastPrinted>2000-09-21T16:48:00Z</cp:lastPrinted>
  <dcterms:modified xsi:type="dcterms:W3CDTF">2000-09-21T19:18:00Z</dcterms:modified>
  <cp:revision>4</cp:revision>
  <dc:subject/>
  <dc:title>DRAFT</dc:title>
</cp:coreProperties>
</file>