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u w:val="single"/>
        </w:rPr>
      </w:pPr>
      <w:r>
        <w:rPr>
          <w:sz w:val="24"/>
          <w:u w:val="single"/>
        </w:rPr>
        <w:t>Capacity:</w:t>
      </w:r>
    </w:p>
    <w:p>
      <w:pPr>
        <w:pStyle w:val="Normal"/>
        <w:rPr>
          <w:sz w:val="24"/>
        </w:rPr>
      </w:pPr>
      <w:r>
        <w:rPr>
          <w:sz w:val="24"/>
        </w:rPr>
        <w:t>Gas Control Coordinators (Darrell Schoolcraft and/or Gary Spraggins) will maintain the operational capacity at the PnR points.</w:t>
      </w:r>
    </w:p>
    <w:p>
      <w:pPr>
        <w:pStyle w:val="Normal"/>
        <w:rPr>
          <w:sz w:val="24"/>
        </w:rPr>
      </w:pPr>
      <w:r>
        <w:rPr>
          <w:sz w:val="24"/>
        </w:rPr>
      </w:r>
    </w:p>
    <w:p>
      <w:pPr>
        <w:pStyle w:val="Normal"/>
        <w:rPr>
          <w:sz w:val="24"/>
          <w:u w:val="single"/>
        </w:rPr>
      </w:pPr>
      <w:r>
        <w:rPr>
          <w:sz w:val="24"/>
          <w:u w:val="single"/>
        </w:rPr>
        <w:t>Establishing Rates:</w:t>
      </w:r>
    </w:p>
    <w:p>
      <w:pPr>
        <w:pStyle w:val="Normal"/>
        <w:rPr>
          <w:sz w:val="24"/>
        </w:rPr>
      </w:pPr>
      <w:r>
        <w:rPr>
          <w:sz w:val="24"/>
        </w:rPr>
        <w:t xml:space="preserve">Rates will be set in CBS and posted on the Internet at the beginning of each month and updated as necessary throughout the month. (Storage Team). An advisement should be sent to the Marketing and Market Services Teams when the posted rates change. </w:t>
      </w:r>
    </w:p>
    <w:p>
      <w:pPr>
        <w:pStyle w:val="Normal"/>
        <w:rPr>
          <w:sz w:val="24"/>
        </w:rPr>
      </w:pPr>
      <w:r>
        <w:rPr>
          <w:sz w:val="24"/>
        </w:rPr>
      </w:r>
    </w:p>
    <w:p>
      <w:pPr>
        <w:pStyle w:val="Normal"/>
        <w:rPr>
          <w:sz w:val="24"/>
        </w:rPr>
      </w:pPr>
      <w:r>
        <w:rPr>
          <w:sz w:val="24"/>
        </w:rPr>
        <w:t>The posted rates will be rate billed to shipper unless other rate has been negotiated and approved by Marketing. Whenever another rate is negotiated, the Marketing Rep. should prepare a "deal sheet" (see attached) to set forth the identity of party, the rate to be charged, the quantity, the length of time, the location of the activity, and any other information deemed helpful in understanding intent. The deal sheet should be signed or initialed by the other party to verify a concurrence with the parameters of the deal.</w:t>
      </w:r>
    </w:p>
    <w:p>
      <w:pPr>
        <w:pStyle w:val="Normal"/>
        <w:rPr>
          <w:sz w:val="24"/>
        </w:rPr>
      </w:pPr>
      <w:r>
        <w:rPr>
          <w:sz w:val="24"/>
        </w:rPr>
        <w:t xml:space="preserve">   </w:t>
      </w:r>
    </w:p>
    <w:p>
      <w:pPr>
        <w:pStyle w:val="Normal"/>
        <w:rPr>
          <w:sz w:val="24"/>
        </w:rPr>
      </w:pPr>
      <w:r>
        <w:rPr>
          <w:sz w:val="24"/>
        </w:rPr>
        <w:t>Copies of the signed deal sheet should be sent to:</w:t>
      </w:r>
    </w:p>
    <w:p>
      <w:pPr>
        <w:pStyle w:val="Normal"/>
        <w:numPr>
          <w:ilvl w:val="0"/>
          <w:numId w:val="5"/>
        </w:numPr>
        <w:rPr>
          <w:sz w:val="24"/>
        </w:rPr>
      </w:pPr>
      <w:r>
        <w:rPr>
          <w:sz w:val="24"/>
        </w:rPr>
        <w:t>Storage Administration - For updating CBS with contract/point specific rates</w:t>
      </w:r>
    </w:p>
    <w:p>
      <w:pPr>
        <w:pStyle w:val="Normal"/>
        <w:numPr>
          <w:ilvl w:val="0"/>
          <w:numId w:val="5"/>
        </w:numPr>
        <w:rPr>
          <w:sz w:val="24"/>
        </w:rPr>
      </w:pPr>
      <w:r>
        <w:rPr>
          <w:sz w:val="24"/>
        </w:rPr>
        <w:t xml:space="preserve">Market Services (Mike Bodnar) -  for confirmation of rate to be billed. </w:t>
      </w:r>
    </w:p>
    <w:p>
      <w:pPr>
        <w:pStyle w:val="Normal"/>
        <w:rPr>
          <w:sz w:val="24"/>
        </w:rPr>
      </w:pPr>
      <w:r>
        <w:rPr>
          <w:sz w:val="24"/>
        </w:rPr>
      </w:r>
    </w:p>
    <w:p>
      <w:pPr>
        <w:pStyle w:val="Normal"/>
        <w:rPr>
          <w:sz w:val="24"/>
          <w:u w:val="single"/>
        </w:rPr>
      </w:pPr>
      <w:r>
        <w:rPr>
          <w:sz w:val="24"/>
          <w:u w:val="single"/>
        </w:rPr>
        <w:t>Allocations:</w:t>
      </w:r>
    </w:p>
    <w:p>
      <w:pPr>
        <w:pStyle w:val="Normal"/>
        <w:rPr>
          <w:sz w:val="24"/>
        </w:rPr>
      </w:pPr>
      <w:r>
        <w:rPr>
          <w:sz w:val="24"/>
        </w:rPr>
        <w:t>Whenever scheduled PnR activity at any PnR point(s) exceed the operational capacity at the point(s) an allocation will be performed. The allocation of PnR activity will be based on price.</w:t>
      </w:r>
    </w:p>
    <w:p>
      <w:pPr>
        <w:pStyle w:val="Normal"/>
        <w:rPr>
          <w:sz w:val="24"/>
        </w:rPr>
      </w:pPr>
      <w:r>
        <w:rPr>
          <w:sz w:val="24"/>
        </w:rPr>
      </w:r>
    </w:p>
    <w:p>
      <w:pPr>
        <w:pStyle w:val="Normal"/>
        <w:rPr>
          <w:sz w:val="24"/>
          <w:u w:val="single"/>
        </w:rPr>
      </w:pPr>
      <w:r>
        <w:rPr>
          <w:sz w:val="24"/>
          <w:u w:val="single"/>
        </w:rPr>
        <w:t>Billing:</w:t>
      </w:r>
    </w:p>
    <w:p>
      <w:pPr>
        <w:pStyle w:val="Normal"/>
        <w:rPr>
          <w:sz w:val="24"/>
        </w:rPr>
      </w:pPr>
      <w:r>
        <w:rPr>
          <w:sz w:val="24"/>
        </w:rPr>
        <w:t>The PnR billing information will be detailed in an Excel workbook prepared on the 1st business day of the month and distributed to Market Services and Marketing Teams (Mike Bodnar)</w:t>
      </w:r>
    </w:p>
    <w:p>
      <w:pPr>
        <w:pStyle w:val="Normal"/>
        <w:rPr>
          <w:sz w:val="24"/>
        </w:rPr>
      </w:pPr>
      <w:r>
        <w:rPr>
          <w:sz w:val="24"/>
        </w:rPr>
        <w:t xml:space="preserve">PPAs will be addressed on a case by case basis. </w:t>
      </w:r>
    </w:p>
    <w:p>
      <w:pPr>
        <w:pStyle w:val="Normal"/>
        <w:rPr>
          <w:sz w:val="24"/>
        </w:rPr>
      </w:pPr>
      <w:r>
        <w:rPr>
          <w:sz w:val="24"/>
        </w:rPr>
      </w:r>
    </w:p>
    <w:p>
      <w:pPr>
        <w:pStyle w:val="Normal"/>
        <w:rPr>
          <w:sz w:val="24"/>
          <w:u w:val="single"/>
        </w:rPr>
      </w:pPr>
      <w:r>
        <w:rPr>
          <w:sz w:val="24"/>
          <w:u w:val="single"/>
        </w:rPr>
        <w:t xml:space="preserve">Issues: </w:t>
      </w:r>
    </w:p>
    <w:p>
      <w:pPr>
        <w:pStyle w:val="Normal"/>
        <w:numPr>
          <w:ilvl w:val="0"/>
          <w:numId w:val="2"/>
        </w:numPr>
        <w:rPr>
          <w:sz w:val="24"/>
        </w:rPr>
      </w:pPr>
      <w:r>
        <w:rPr>
          <w:sz w:val="24"/>
        </w:rPr>
        <w:t>What priority should a shipper with 'parked' balance have when nominating to ride over another shipper without a balance who likewise is nominating to ride? (and vice versa)</w:t>
      </w:r>
    </w:p>
    <w:p>
      <w:pPr>
        <w:pStyle w:val="Normal"/>
        <w:rPr>
          <w:sz w:val="24"/>
        </w:rPr>
      </w:pPr>
      <w:r>
        <w:rPr>
          <w:sz w:val="24"/>
        </w:rPr>
      </w:r>
    </w:p>
    <w:p>
      <w:pPr>
        <w:pStyle w:val="Normal"/>
        <w:numPr>
          <w:ilvl w:val="0"/>
          <w:numId w:val="3"/>
        </w:numPr>
        <w:rPr>
          <w:sz w:val="24"/>
        </w:rPr>
      </w:pPr>
      <w:r>
        <w:rPr>
          <w:sz w:val="24"/>
        </w:rPr>
        <w:t>What rate should be applied to shipper's balance when the decision is made to raise or lower posted rate? (Generally today the shipper is charged the rate in effect at the time the balance is created)</w:t>
      </w:r>
    </w:p>
    <w:p>
      <w:pPr>
        <w:pStyle w:val="Normal"/>
        <w:rPr>
          <w:sz w:val="24"/>
        </w:rPr>
      </w:pPr>
      <w:r>
        <w:rPr>
          <w:sz w:val="24"/>
        </w:rPr>
      </w:r>
    </w:p>
    <w:p>
      <w:pPr>
        <w:pStyle w:val="Normal"/>
        <w:numPr>
          <w:ilvl w:val="0"/>
          <w:numId w:val="4"/>
        </w:numPr>
        <w:rPr>
          <w:sz w:val="24"/>
        </w:rPr>
      </w:pPr>
      <w:r>
        <w:rPr>
          <w:sz w:val="24"/>
        </w:rPr>
        <w:t>Should PnR charges be suspended for shippers with balances whenever such shipper's nomination cannot be scheduled due to operational constraints on PnR capacity at the point?</w:t>
      </w:r>
    </w:p>
    <w:p>
      <w:pPr>
        <w:pStyle w:val="Normal"/>
        <w:rPr>
          <w:sz w:val="24"/>
        </w:rPr>
      </w:pPr>
      <w:r>
        <w:rPr>
          <w:sz w:val="24"/>
        </w:rPr>
      </w:r>
    </w:p>
    <w:p>
      <w:pPr>
        <w:pStyle w:val="Normal"/>
        <w:numPr>
          <w:ilvl w:val="0"/>
          <w:numId w:val="1"/>
        </w:numPr>
        <w:rPr>
          <w:sz w:val="24"/>
        </w:rPr>
      </w:pPr>
      <w:r>
        <w:rPr>
          <w:sz w:val="24"/>
        </w:rPr>
        <w:t>Other?</w:t>
      </w:r>
    </w:p>
    <w:p>
      <w:pPr>
        <w:pStyle w:val="Normal"/>
        <w:rPr>
          <w:sz w:val="24"/>
        </w:rPr>
      </w:pPr>
      <w:r>
        <w:rPr>
          <w:sz w:val="24"/>
        </w:rPr>
        <w:t xml:space="preserve">  </w:t>
      </w:r>
    </w:p>
    <w:p>
      <w:pPr>
        <w:pStyle w:val="Normal"/>
        <w:rPr>
          <w:sz w:val="24"/>
        </w:rPr>
      </w:pPr>
      <w:r>
        <w:rPr>
          <w:sz w:val="24"/>
        </w:rPr>
      </w:r>
    </w:p>
    <w:p>
      <w:pPr>
        <w:pStyle w:val="Normal"/>
        <w:rPr>
          <w:sz w:val="24"/>
        </w:rPr>
      </w:pPr>
      <w:r>
        <w:rPr>
          <w:sz w:val="24"/>
        </w:rPr>
        <w:t xml:space="preserve"> </w:t>
      </w:r>
    </w:p>
    <w:p>
      <w:pPr>
        <w:pStyle w:val="Normal"/>
        <w:rPr>
          <w:sz w:val="24"/>
        </w:rPr>
      </w:pPr>
      <w:r>
        <w:rPr>
          <w:sz w:val="24"/>
        </w:rPr>
      </w:r>
    </w:p>
    <w:p>
      <w:pPr>
        <w:pStyle w:val="Normal"/>
        <w:rPr>
          <w:sz w:val="24"/>
        </w:rPr>
      </w:pPr>
      <w:r>
        <w:rPr>
          <w:sz w:val="24"/>
        </w:rPr>
      </w:r>
    </w:p>
    <w:p>
      <w:pPr>
        <w:pStyle w:val="Normal"/>
        <w:rPr/>
      </w:pPr>
      <w:r>
        <w:rPr/>
        <w:t>Buyer's Name:___________________________</w:t>
        <w:tab/>
        <w:tab/>
        <w:tab/>
        <w:tab/>
        <w:tab/>
        <w:tab/>
      </w:r>
    </w:p>
    <w:p>
      <w:pPr>
        <w:pStyle w:val="Normal"/>
        <w:rPr/>
      </w:pPr>
      <w:r>
        <w:rPr/>
        <w:tab/>
        <w:tab/>
        <w:tab/>
        <w:tab/>
        <w:tab/>
        <w:tab/>
      </w:r>
    </w:p>
    <w:p>
      <w:pPr>
        <w:pStyle w:val="Normal"/>
        <w:rPr/>
      </w:pPr>
      <w:r>
        <w:rPr/>
        <w:t>Buyer's Contact:__________________________</w:t>
        <w:tab/>
        <w:t>Fax Number:____________________________</w:t>
        <w:tab/>
        <w:tab/>
        <w:tab/>
      </w:r>
    </w:p>
    <w:p>
      <w:pPr>
        <w:pStyle w:val="Normal"/>
        <w:rPr/>
      </w:pPr>
      <w:r>
        <w:rPr/>
        <w:tab/>
        <w:tab/>
        <w:tab/>
        <w:tab/>
        <w:tab/>
        <w:tab/>
      </w:r>
    </w:p>
    <w:p>
      <w:pPr>
        <w:pStyle w:val="Normal"/>
        <w:rPr/>
      </w:pPr>
      <w:r>
        <w:rPr/>
        <w:t>Account Manager:_________________________</w:t>
        <w:tab/>
        <w:t>Phone Number:__________________________</w:t>
        <w:tab/>
        <w:tab/>
        <w:tab/>
      </w:r>
    </w:p>
    <w:p>
      <w:pPr>
        <w:pStyle w:val="Normal"/>
        <w:rPr/>
      </w:pPr>
      <w:r>
        <w:rPr/>
        <w:tab/>
        <w:tab/>
        <w:tab/>
        <w:tab/>
        <w:tab/>
        <w:tab/>
      </w:r>
    </w:p>
    <w:p>
      <w:pPr>
        <w:pStyle w:val="Normal"/>
        <w:rPr/>
      </w:pPr>
      <w:r>
        <w:rPr/>
        <w:t>Date Confirmation Sent:</w:t>
        <w:tab/>
        <w:tab/>
        <w:tab/>
        <w:tab/>
        <w:tab/>
        <w:tab/>
      </w:r>
    </w:p>
    <w:p>
      <w:pPr>
        <w:pStyle w:val="Normal"/>
        <w:rPr/>
      </w:pPr>
      <w:r>
        <w:rPr/>
      </w:r>
    </w:p>
    <w:p>
      <w:pPr>
        <w:pStyle w:val="Normal"/>
        <w:rPr/>
      </w:pPr>
      <w:r>
        <w:rPr/>
        <w:t>This document shall serve as confirmation of the verbal Purchase Order reached between Buyer and Seller.</w:t>
        <w:tab/>
        <w:t>If this confirmation notice does not accurately describe your understanding of our agreement, please contract us immediately. If you are in agreement with the terms specified herein, please sign this document and fax it back to the Account Manager listed above at (713) 646-8000.</w:t>
        <w:tab/>
        <w:tab/>
        <w:tab/>
        <w:tab/>
        <w:tab/>
        <w:tab/>
      </w:r>
    </w:p>
    <w:p>
      <w:pPr>
        <w:pStyle w:val="Normal"/>
        <w:rPr/>
      </w:pPr>
      <w:r>
        <w:rPr/>
        <w:t>Seller and Buyer agree, pursuant to the referenced service agreement, to supplement such agreement with the following terms included in this Purchase Order:</w:t>
        <w:tab/>
        <w:tab/>
        <w:tab/>
        <w:tab/>
        <w:tab/>
        <w:tab/>
      </w:r>
    </w:p>
    <w:tbl>
      <w:tblPr>
        <w:tblW w:w="9576" w:type="dxa"/>
        <w:jc w:val="start"/>
        <w:tblInd w:w="0" w:type="dxa"/>
        <w:tblLayout w:type="fixed"/>
        <w:tblCellMar>
          <w:top w:w="0" w:type="dxa"/>
          <w:start w:w="108" w:type="dxa"/>
          <w:bottom w:w="0" w:type="dxa"/>
          <w:end w:w="108" w:type="dxa"/>
        </w:tblCellMar>
      </w:tblPr>
      <w:tblGrid>
        <w:gridCol w:w="1596"/>
        <w:gridCol w:w="1596"/>
        <w:gridCol w:w="1596"/>
        <w:gridCol w:w="1596"/>
        <w:gridCol w:w="1596"/>
        <w:gridCol w:w="1596"/>
      </w:tblGrid>
      <w:tr>
        <w:trPr/>
        <w:tc>
          <w:tcPr>
            <w:tcW w:w="1596" w:type="dxa"/>
            <w:tcBorders/>
          </w:tcPr>
          <w:p>
            <w:pPr>
              <w:pStyle w:val="Normal"/>
              <w:rPr>
                <w:u w:val="single"/>
              </w:rPr>
            </w:pPr>
            <w:r>
              <w:rPr>
                <w:u w:val="single"/>
              </w:rPr>
              <w:t>Deal Date:</w:t>
            </w:r>
          </w:p>
        </w:tc>
        <w:tc>
          <w:tcPr>
            <w:tcW w:w="1596" w:type="dxa"/>
            <w:tcBorders/>
          </w:tcPr>
          <w:p>
            <w:pPr>
              <w:pStyle w:val="Normal"/>
              <w:rPr>
                <w:u w:val="single"/>
              </w:rPr>
            </w:pPr>
            <w:r>
              <w:rPr>
                <w:u w:val="single"/>
              </w:rPr>
              <w:t>Shipper:</w:t>
              <w:tab/>
            </w:r>
          </w:p>
        </w:tc>
        <w:tc>
          <w:tcPr>
            <w:tcW w:w="1596" w:type="dxa"/>
            <w:tcBorders/>
          </w:tcPr>
          <w:p>
            <w:pPr>
              <w:pStyle w:val="Normal"/>
              <w:rPr/>
            </w:pPr>
            <w:r>
              <w:rPr/>
              <w:t xml:space="preserve">Purchase Order </w:t>
            </w:r>
            <w:r>
              <w:rPr>
                <w:u w:val="single"/>
              </w:rPr>
              <w:t>Number:</w:t>
            </w:r>
          </w:p>
        </w:tc>
        <w:tc>
          <w:tcPr>
            <w:tcW w:w="1596" w:type="dxa"/>
            <w:tcBorders/>
          </w:tcPr>
          <w:p>
            <w:pPr>
              <w:pStyle w:val="Normal"/>
              <w:rPr/>
            </w:pPr>
            <w:r>
              <w:rPr/>
              <w:t>Type:</w:t>
            </w:r>
          </w:p>
          <w:p>
            <w:pPr>
              <w:pStyle w:val="Normal"/>
              <w:rPr>
                <w:u w:val="single"/>
              </w:rPr>
            </w:pPr>
            <w:r>
              <w:rPr>
                <w:u w:val="single"/>
              </w:rPr>
              <w:t>Park -or- Ride</w:t>
            </w:r>
          </w:p>
        </w:tc>
        <w:tc>
          <w:tcPr>
            <w:tcW w:w="1596" w:type="dxa"/>
            <w:tcBorders/>
          </w:tcPr>
          <w:p>
            <w:pPr>
              <w:pStyle w:val="Normal"/>
              <w:rPr/>
            </w:pPr>
            <w:r>
              <w:rPr/>
              <w:t xml:space="preserve">Related PNR </w:t>
            </w:r>
            <w:r>
              <w:rPr>
                <w:u w:val="single"/>
              </w:rPr>
              <w:t>Form</w:t>
            </w:r>
          </w:p>
        </w:tc>
        <w:tc>
          <w:tcPr>
            <w:tcW w:w="1596" w:type="dxa"/>
            <w:tcBorders/>
          </w:tcPr>
          <w:p>
            <w:pPr>
              <w:pStyle w:val="Normal"/>
              <w:rPr/>
            </w:pPr>
            <w:r>
              <w:rPr/>
              <w:t xml:space="preserve">Total Quantity </w:t>
            </w:r>
            <w:r>
              <w:rPr>
                <w:u w:val="single"/>
              </w:rPr>
              <w:t>(dekatherms)</w:t>
            </w:r>
          </w:p>
        </w:tc>
      </w:tr>
      <w:tr>
        <w:trPr>
          <w:trHeight w:val="200" w:hRule="atLeast"/>
        </w:trPr>
        <w:tc>
          <w:tcPr>
            <w:tcW w:w="1596" w:type="dxa"/>
            <w:tcBorders/>
          </w:tcPr>
          <w:p>
            <w:pPr>
              <w:pStyle w:val="Normal"/>
              <w:snapToGrid w:val="false"/>
              <w:rPr>
                <w:u w:val="single"/>
              </w:rPr>
            </w:pPr>
            <w:r>
              <w:rPr>
                <w:u w:val="single"/>
              </w:rPr>
            </w:r>
          </w:p>
          <w:p>
            <w:pPr>
              <w:pStyle w:val="Normal"/>
              <w:rPr/>
            </w:pPr>
            <w:r>
              <w:rPr/>
              <w:t>_____________</w:t>
            </w:r>
          </w:p>
        </w:tc>
        <w:tc>
          <w:tcPr>
            <w:tcW w:w="1596" w:type="dxa"/>
            <w:tcBorders/>
          </w:tcPr>
          <w:p>
            <w:pPr>
              <w:pStyle w:val="Normal"/>
              <w:snapToGrid w:val="false"/>
              <w:rPr/>
            </w:pPr>
            <w:r>
              <w:rPr/>
            </w:r>
          </w:p>
          <w:p>
            <w:pPr>
              <w:pStyle w:val="Normal"/>
              <w:rPr/>
            </w:pPr>
            <w:r>
              <w:rPr/>
              <w:t>_____________</w:t>
            </w:r>
          </w:p>
        </w:tc>
        <w:tc>
          <w:tcPr>
            <w:tcW w:w="1596" w:type="dxa"/>
            <w:tcBorders/>
          </w:tcPr>
          <w:p>
            <w:pPr>
              <w:pStyle w:val="Normal"/>
              <w:snapToGrid w:val="false"/>
              <w:rPr/>
            </w:pPr>
            <w:r>
              <w:rPr/>
            </w:r>
          </w:p>
          <w:p>
            <w:pPr>
              <w:pStyle w:val="Normal"/>
              <w:rPr/>
            </w:pPr>
            <w:r>
              <w:rPr/>
              <w:t>_____________</w:t>
            </w:r>
          </w:p>
        </w:tc>
        <w:tc>
          <w:tcPr>
            <w:tcW w:w="1596" w:type="dxa"/>
            <w:tcBorders/>
          </w:tcPr>
          <w:p>
            <w:pPr>
              <w:pStyle w:val="Normal"/>
              <w:snapToGrid w:val="false"/>
              <w:rPr/>
            </w:pPr>
            <w:r>
              <w:rPr/>
            </w:r>
          </w:p>
          <w:p>
            <w:pPr>
              <w:pStyle w:val="Normal"/>
              <w:rPr/>
            </w:pPr>
            <w:r>
              <w:rPr/>
              <w:t>_____________</w:t>
            </w:r>
          </w:p>
        </w:tc>
        <w:tc>
          <w:tcPr>
            <w:tcW w:w="1596" w:type="dxa"/>
            <w:tcBorders/>
          </w:tcPr>
          <w:p>
            <w:pPr>
              <w:pStyle w:val="Normal"/>
              <w:snapToGrid w:val="false"/>
              <w:rPr/>
            </w:pPr>
            <w:r>
              <w:rPr/>
            </w:r>
          </w:p>
          <w:p>
            <w:pPr>
              <w:pStyle w:val="Normal"/>
              <w:rPr/>
            </w:pPr>
            <w:r>
              <w:rPr/>
              <w:t>_____________</w:t>
            </w:r>
          </w:p>
        </w:tc>
        <w:tc>
          <w:tcPr>
            <w:tcW w:w="1596" w:type="dxa"/>
            <w:tcBorders/>
          </w:tcPr>
          <w:p>
            <w:pPr>
              <w:pStyle w:val="Normal"/>
              <w:snapToGrid w:val="false"/>
              <w:rPr/>
            </w:pPr>
            <w:r>
              <w:rPr/>
            </w:r>
          </w:p>
          <w:p>
            <w:pPr>
              <w:pStyle w:val="Normal"/>
              <w:rPr/>
            </w:pPr>
            <w:r>
              <w:rPr/>
              <w:t>_____________</w:t>
            </w:r>
          </w:p>
        </w:tc>
      </w:tr>
    </w:tbl>
    <w:p>
      <w:pPr>
        <w:pStyle w:val="Normal"/>
        <w:rPr/>
      </w:pPr>
      <w:r>
        <w:rPr/>
        <w:tab/>
        <w:tab/>
        <w:tab/>
        <w:tab/>
        <w:tab/>
        <w:tab/>
      </w:r>
    </w:p>
    <w:tbl>
      <w:tblPr>
        <w:tblW w:w="9576" w:type="dxa"/>
        <w:jc w:val="start"/>
        <w:tblInd w:w="0" w:type="dxa"/>
        <w:tblLayout w:type="fixed"/>
        <w:tblCellMar>
          <w:top w:w="0" w:type="dxa"/>
          <w:start w:w="108" w:type="dxa"/>
          <w:bottom w:w="0" w:type="dxa"/>
          <w:end w:w="108" w:type="dxa"/>
        </w:tblCellMar>
      </w:tblPr>
      <w:tblGrid>
        <w:gridCol w:w="1548"/>
        <w:gridCol w:w="48"/>
        <w:gridCol w:w="1596"/>
        <w:gridCol w:w="1596"/>
        <w:gridCol w:w="1596"/>
        <w:gridCol w:w="1596"/>
        <w:gridCol w:w="48"/>
        <w:gridCol w:w="1548"/>
      </w:tblGrid>
      <w:tr>
        <w:trPr/>
        <w:tc>
          <w:tcPr>
            <w:tcW w:w="1548" w:type="dxa"/>
            <w:tcBorders/>
          </w:tcPr>
          <w:p>
            <w:pPr>
              <w:pStyle w:val="Normal"/>
              <w:snapToGrid w:val="false"/>
              <w:rPr/>
            </w:pPr>
            <w:r>
              <w:rPr/>
            </w:r>
          </w:p>
        </w:tc>
        <w:tc>
          <w:tcPr>
            <w:tcW w:w="3240" w:type="dxa"/>
            <w:gridSpan w:val="3"/>
            <w:tcBorders/>
          </w:tcPr>
          <w:p>
            <w:pPr>
              <w:pStyle w:val="Normal"/>
              <w:jc w:val="center"/>
              <w:rPr/>
            </w:pPr>
            <w:r>
              <w:rPr/>
              <w:t>Daily Park (Returned)</w:t>
            </w:r>
          </w:p>
          <w:p>
            <w:pPr>
              <w:pStyle w:val="Normal"/>
              <w:jc w:val="center"/>
              <w:rPr>
                <w:u w:val="single"/>
              </w:rPr>
            </w:pPr>
            <w:r>
              <w:rPr>
                <w:u w:val="single"/>
              </w:rPr>
              <w:t>Quantity (Dekatherm)</w:t>
            </w:r>
          </w:p>
        </w:tc>
        <w:tc>
          <w:tcPr>
            <w:tcW w:w="3240" w:type="dxa"/>
            <w:gridSpan w:val="3"/>
            <w:tcBorders/>
          </w:tcPr>
          <w:p>
            <w:pPr>
              <w:pStyle w:val="Normal"/>
              <w:jc w:val="center"/>
              <w:rPr/>
            </w:pPr>
            <w:r>
              <w:rPr/>
              <w:t>Daily Ride (Removed)</w:t>
            </w:r>
          </w:p>
          <w:p>
            <w:pPr>
              <w:pStyle w:val="Normal"/>
              <w:jc w:val="center"/>
              <w:rPr>
                <w:u w:val="single"/>
              </w:rPr>
            </w:pPr>
            <w:r>
              <w:rPr>
                <w:u w:val="single"/>
              </w:rPr>
              <w:t>Quantity (Dekatherm)</w:t>
            </w:r>
          </w:p>
        </w:tc>
        <w:tc>
          <w:tcPr>
            <w:tcW w:w="1548" w:type="dxa"/>
            <w:tcBorders/>
          </w:tcPr>
          <w:p>
            <w:pPr>
              <w:pStyle w:val="Normal"/>
              <w:snapToGrid w:val="false"/>
              <w:jc w:val="center"/>
              <w:rPr>
                <w:u w:val="single"/>
              </w:rPr>
            </w:pPr>
            <w:r>
              <w:rPr>
                <w:u w:val="single"/>
              </w:rPr>
            </w:r>
          </w:p>
          <w:p>
            <w:pPr>
              <w:pStyle w:val="Normal"/>
              <w:jc w:val="center"/>
              <w:rPr/>
            </w:pPr>
            <w:r>
              <w:rPr/>
              <w:t>Date Range</w:t>
            </w:r>
          </w:p>
        </w:tc>
      </w:tr>
      <w:tr>
        <w:trPr/>
        <w:tc>
          <w:tcPr>
            <w:tcW w:w="1596" w:type="dxa"/>
            <w:gridSpan w:val="2"/>
            <w:tcBorders/>
          </w:tcPr>
          <w:p>
            <w:pPr>
              <w:pStyle w:val="Normal"/>
              <w:jc w:val="center"/>
              <w:rPr>
                <w:u w:val="single"/>
              </w:rPr>
            </w:pPr>
            <w:r>
              <w:rPr>
                <w:u w:val="single"/>
              </w:rPr>
              <w:t>PNR POI#</w:t>
            </w:r>
          </w:p>
        </w:tc>
        <w:tc>
          <w:tcPr>
            <w:tcW w:w="1596" w:type="dxa"/>
            <w:tcBorders/>
          </w:tcPr>
          <w:p>
            <w:pPr>
              <w:pStyle w:val="Normal"/>
              <w:jc w:val="center"/>
              <w:rPr>
                <w:u w:val="single"/>
              </w:rPr>
            </w:pPr>
            <w:r>
              <w:rPr>
                <w:u w:val="single"/>
              </w:rPr>
              <w:t>Minimum</w:t>
            </w:r>
          </w:p>
        </w:tc>
        <w:tc>
          <w:tcPr>
            <w:tcW w:w="1596" w:type="dxa"/>
            <w:tcBorders/>
          </w:tcPr>
          <w:p>
            <w:pPr>
              <w:pStyle w:val="Normal"/>
              <w:jc w:val="center"/>
              <w:rPr>
                <w:u w:val="single"/>
              </w:rPr>
            </w:pPr>
            <w:r>
              <w:rPr>
                <w:u w:val="single"/>
              </w:rPr>
              <w:t>Maximum</w:t>
            </w:r>
          </w:p>
        </w:tc>
        <w:tc>
          <w:tcPr>
            <w:tcW w:w="1596" w:type="dxa"/>
            <w:tcBorders/>
          </w:tcPr>
          <w:p>
            <w:pPr>
              <w:pStyle w:val="Normal"/>
              <w:jc w:val="center"/>
              <w:rPr>
                <w:u w:val="single"/>
              </w:rPr>
            </w:pPr>
            <w:r>
              <w:rPr>
                <w:u w:val="single"/>
              </w:rPr>
              <w:t>Minimum</w:t>
            </w:r>
          </w:p>
        </w:tc>
        <w:tc>
          <w:tcPr>
            <w:tcW w:w="1596" w:type="dxa"/>
            <w:tcBorders/>
          </w:tcPr>
          <w:p>
            <w:pPr>
              <w:pStyle w:val="Normal"/>
              <w:jc w:val="center"/>
              <w:rPr>
                <w:u w:val="single"/>
              </w:rPr>
            </w:pPr>
            <w:r>
              <w:rPr>
                <w:u w:val="single"/>
              </w:rPr>
              <w:t>Maximum</w:t>
            </w:r>
          </w:p>
        </w:tc>
        <w:tc>
          <w:tcPr>
            <w:tcW w:w="1596" w:type="dxa"/>
            <w:gridSpan w:val="2"/>
            <w:tcBorders/>
          </w:tcPr>
          <w:p>
            <w:pPr>
              <w:pStyle w:val="Normal"/>
              <w:jc w:val="center"/>
              <w:rPr>
                <w:u w:val="single"/>
              </w:rPr>
            </w:pPr>
            <w:r>
              <w:rPr>
                <w:u w:val="single"/>
              </w:rPr>
              <w:t>To be in Effect</w:t>
            </w:r>
          </w:p>
        </w:tc>
      </w:tr>
      <w:tr>
        <w:trPr/>
        <w:tc>
          <w:tcPr>
            <w:tcW w:w="1596" w:type="dxa"/>
            <w:gridSpan w:val="2"/>
            <w:tcBorders/>
          </w:tcPr>
          <w:p>
            <w:pPr>
              <w:pStyle w:val="Normal"/>
              <w:snapToGrid w:val="false"/>
              <w:rPr>
                <w:u w:val="single"/>
              </w:rPr>
            </w:pPr>
            <w:r>
              <w:rPr>
                <w:u w:val="single"/>
              </w:rPr>
            </w:r>
          </w:p>
          <w:p>
            <w:pPr>
              <w:pStyle w:val="Normal"/>
              <w:rPr/>
            </w:pPr>
            <w:r>
              <w:rPr/>
              <w:t>_____________</w:t>
            </w:r>
          </w:p>
        </w:tc>
        <w:tc>
          <w:tcPr>
            <w:tcW w:w="1596" w:type="dxa"/>
            <w:tcBorders/>
          </w:tcPr>
          <w:p>
            <w:pPr>
              <w:pStyle w:val="Normal"/>
              <w:snapToGrid w:val="false"/>
              <w:rPr/>
            </w:pPr>
            <w:r>
              <w:rPr/>
            </w:r>
          </w:p>
          <w:p>
            <w:pPr>
              <w:pStyle w:val="Normal"/>
              <w:rPr/>
            </w:pPr>
            <w:r>
              <w:rPr/>
              <w:t>_____________</w:t>
            </w:r>
          </w:p>
        </w:tc>
        <w:tc>
          <w:tcPr>
            <w:tcW w:w="1596" w:type="dxa"/>
            <w:tcBorders/>
          </w:tcPr>
          <w:p>
            <w:pPr>
              <w:pStyle w:val="Normal"/>
              <w:snapToGrid w:val="false"/>
              <w:rPr/>
            </w:pPr>
            <w:r>
              <w:rPr/>
            </w:r>
          </w:p>
          <w:p>
            <w:pPr>
              <w:pStyle w:val="Normal"/>
              <w:rPr/>
            </w:pPr>
            <w:r>
              <w:rPr/>
              <w:t>_____________</w:t>
            </w:r>
          </w:p>
        </w:tc>
        <w:tc>
          <w:tcPr>
            <w:tcW w:w="1596" w:type="dxa"/>
            <w:tcBorders/>
          </w:tcPr>
          <w:p>
            <w:pPr>
              <w:pStyle w:val="Normal"/>
              <w:snapToGrid w:val="false"/>
              <w:rPr/>
            </w:pPr>
            <w:r>
              <w:rPr/>
            </w:r>
          </w:p>
          <w:p>
            <w:pPr>
              <w:pStyle w:val="Normal"/>
              <w:rPr/>
            </w:pPr>
            <w:r>
              <w:rPr/>
              <w:t>_____________</w:t>
            </w:r>
          </w:p>
        </w:tc>
        <w:tc>
          <w:tcPr>
            <w:tcW w:w="1596" w:type="dxa"/>
            <w:tcBorders/>
          </w:tcPr>
          <w:p>
            <w:pPr>
              <w:pStyle w:val="Normal"/>
              <w:snapToGrid w:val="false"/>
              <w:rPr/>
            </w:pPr>
            <w:r>
              <w:rPr/>
            </w:r>
          </w:p>
          <w:p>
            <w:pPr>
              <w:pStyle w:val="Normal"/>
              <w:rPr/>
            </w:pPr>
            <w:r>
              <w:rPr/>
              <w:t>_____________</w:t>
            </w:r>
          </w:p>
        </w:tc>
        <w:tc>
          <w:tcPr>
            <w:tcW w:w="1596" w:type="dxa"/>
            <w:gridSpan w:val="2"/>
            <w:tcBorders/>
          </w:tcPr>
          <w:p>
            <w:pPr>
              <w:pStyle w:val="Normal"/>
              <w:snapToGrid w:val="false"/>
              <w:rPr/>
            </w:pPr>
            <w:r>
              <w:rPr/>
            </w:r>
          </w:p>
          <w:p>
            <w:pPr>
              <w:pStyle w:val="Normal"/>
              <w:rPr/>
            </w:pPr>
            <w:r>
              <w:rPr/>
              <w:t>_____________</w:t>
            </w:r>
          </w:p>
        </w:tc>
      </w:tr>
      <w:tr>
        <w:trPr/>
        <w:tc>
          <w:tcPr>
            <w:tcW w:w="1596" w:type="dxa"/>
            <w:gridSpan w:val="2"/>
            <w:tcBorders/>
          </w:tcPr>
          <w:p>
            <w:pPr>
              <w:pStyle w:val="Normal"/>
              <w:snapToGrid w:val="false"/>
              <w:rPr/>
            </w:pPr>
            <w:r>
              <w:rPr/>
            </w:r>
          </w:p>
          <w:p>
            <w:pPr>
              <w:pStyle w:val="Normal"/>
              <w:rPr/>
            </w:pPr>
            <w:r>
              <w:rPr/>
              <w:t>_____________</w:t>
            </w:r>
          </w:p>
        </w:tc>
        <w:tc>
          <w:tcPr>
            <w:tcW w:w="1596" w:type="dxa"/>
            <w:tcBorders/>
          </w:tcPr>
          <w:p>
            <w:pPr>
              <w:pStyle w:val="Normal"/>
              <w:snapToGrid w:val="false"/>
              <w:rPr/>
            </w:pPr>
            <w:r>
              <w:rPr/>
            </w:r>
          </w:p>
          <w:p>
            <w:pPr>
              <w:pStyle w:val="Normal"/>
              <w:rPr/>
            </w:pPr>
            <w:r>
              <w:rPr/>
              <w:t>_____________</w:t>
            </w:r>
          </w:p>
        </w:tc>
        <w:tc>
          <w:tcPr>
            <w:tcW w:w="1596" w:type="dxa"/>
            <w:tcBorders/>
          </w:tcPr>
          <w:p>
            <w:pPr>
              <w:pStyle w:val="Normal"/>
              <w:snapToGrid w:val="false"/>
              <w:rPr/>
            </w:pPr>
            <w:r>
              <w:rPr/>
            </w:r>
          </w:p>
          <w:p>
            <w:pPr>
              <w:pStyle w:val="Normal"/>
              <w:rPr/>
            </w:pPr>
            <w:r>
              <w:rPr/>
              <w:t>_____________</w:t>
            </w:r>
          </w:p>
        </w:tc>
        <w:tc>
          <w:tcPr>
            <w:tcW w:w="1596" w:type="dxa"/>
            <w:tcBorders/>
          </w:tcPr>
          <w:p>
            <w:pPr>
              <w:pStyle w:val="Normal"/>
              <w:snapToGrid w:val="false"/>
              <w:rPr/>
            </w:pPr>
            <w:r>
              <w:rPr/>
            </w:r>
          </w:p>
          <w:p>
            <w:pPr>
              <w:pStyle w:val="Normal"/>
              <w:rPr/>
            </w:pPr>
            <w:r>
              <w:rPr/>
              <w:t>_____________</w:t>
            </w:r>
          </w:p>
        </w:tc>
        <w:tc>
          <w:tcPr>
            <w:tcW w:w="1596" w:type="dxa"/>
            <w:tcBorders/>
          </w:tcPr>
          <w:p>
            <w:pPr>
              <w:pStyle w:val="Normal"/>
              <w:snapToGrid w:val="false"/>
              <w:rPr/>
            </w:pPr>
            <w:r>
              <w:rPr/>
            </w:r>
          </w:p>
          <w:p>
            <w:pPr>
              <w:pStyle w:val="Normal"/>
              <w:rPr/>
            </w:pPr>
            <w:r>
              <w:rPr/>
              <w:t>_____________</w:t>
            </w:r>
          </w:p>
        </w:tc>
        <w:tc>
          <w:tcPr>
            <w:tcW w:w="1596" w:type="dxa"/>
            <w:gridSpan w:val="2"/>
            <w:tcBorders/>
          </w:tcPr>
          <w:p>
            <w:pPr>
              <w:pStyle w:val="Normal"/>
              <w:snapToGrid w:val="false"/>
              <w:rPr/>
            </w:pPr>
            <w:r>
              <w:rPr/>
            </w:r>
          </w:p>
          <w:p>
            <w:pPr>
              <w:pStyle w:val="Normal"/>
              <w:rPr/>
            </w:pPr>
            <w:r>
              <w:rPr/>
              <w:t>_____________</w:t>
            </w:r>
          </w:p>
        </w:tc>
      </w:tr>
      <w:tr>
        <w:trPr/>
        <w:tc>
          <w:tcPr>
            <w:tcW w:w="1596" w:type="dxa"/>
            <w:gridSpan w:val="2"/>
            <w:tcBorders/>
          </w:tcPr>
          <w:p>
            <w:pPr>
              <w:pStyle w:val="Normal"/>
              <w:snapToGrid w:val="false"/>
              <w:rPr/>
            </w:pPr>
            <w:r>
              <w:rPr/>
            </w:r>
          </w:p>
          <w:p>
            <w:pPr>
              <w:pStyle w:val="Normal"/>
              <w:rPr/>
            </w:pPr>
            <w:r>
              <w:rPr/>
              <w:t>_____________</w:t>
            </w:r>
          </w:p>
        </w:tc>
        <w:tc>
          <w:tcPr>
            <w:tcW w:w="1596" w:type="dxa"/>
            <w:tcBorders/>
          </w:tcPr>
          <w:p>
            <w:pPr>
              <w:pStyle w:val="Normal"/>
              <w:snapToGrid w:val="false"/>
              <w:rPr/>
            </w:pPr>
            <w:r>
              <w:rPr/>
            </w:r>
          </w:p>
          <w:p>
            <w:pPr>
              <w:pStyle w:val="Normal"/>
              <w:rPr/>
            </w:pPr>
            <w:r>
              <w:rPr/>
              <w:t>_____________</w:t>
            </w:r>
          </w:p>
        </w:tc>
        <w:tc>
          <w:tcPr>
            <w:tcW w:w="1596" w:type="dxa"/>
            <w:tcBorders/>
          </w:tcPr>
          <w:p>
            <w:pPr>
              <w:pStyle w:val="Normal"/>
              <w:snapToGrid w:val="false"/>
              <w:rPr/>
            </w:pPr>
            <w:r>
              <w:rPr/>
            </w:r>
          </w:p>
          <w:p>
            <w:pPr>
              <w:pStyle w:val="Normal"/>
              <w:rPr/>
            </w:pPr>
            <w:r>
              <w:rPr/>
              <w:t>_____________</w:t>
            </w:r>
          </w:p>
        </w:tc>
        <w:tc>
          <w:tcPr>
            <w:tcW w:w="1596" w:type="dxa"/>
            <w:tcBorders/>
          </w:tcPr>
          <w:p>
            <w:pPr>
              <w:pStyle w:val="Normal"/>
              <w:snapToGrid w:val="false"/>
              <w:rPr/>
            </w:pPr>
            <w:r>
              <w:rPr/>
            </w:r>
          </w:p>
          <w:p>
            <w:pPr>
              <w:pStyle w:val="Normal"/>
              <w:rPr/>
            </w:pPr>
            <w:r>
              <w:rPr/>
              <w:t>_____________</w:t>
            </w:r>
          </w:p>
        </w:tc>
        <w:tc>
          <w:tcPr>
            <w:tcW w:w="1596" w:type="dxa"/>
            <w:tcBorders/>
          </w:tcPr>
          <w:p>
            <w:pPr>
              <w:pStyle w:val="Normal"/>
              <w:snapToGrid w:val="false"/>
              <w:rPr/>
            </w:pPr>
            <w:r>
              <w:rPr/>
            </w:r>
          </w:p>
          <w:p>
            <w:pPr>
              <w:pStyle w:val="Normal"/>
              <w:rPr/>
            </w:pPr>
            <w:r>
              <w:rPr/>
              <w:t>_____________</w:t>
            </w:r>
          </w:p>
        </w:tc>
        <w:tc>
          <w:tcPr>
            <w:tcW w:w="1596" w:type="dxa"/>
            <w:gridSpan w:val="2"/>
            <w:tcBorders/>
          </w:tcPr>
          <w:p>
            <w:pPr>
              <w:pStyle w:val="Normal"/>
              <w:snapToGrid w:val="false"/>
              <w:rPr/>
            </w:pPr>
            <w:r>
              <w:rPr/>
            </w:r>
          </w:p>
          <w:p>
            <w:pPr>
              <w:pStyle w:val="Normal"/>
              <w:rPr/>
            </w:pPr>
            <w:r>
              <w:rPr/>
              <w:t>_____________</w:t>
            </w:r>
          </w:p>
        </w:tc>
      </w:tr>
    </w:tbl>
    <w:p>
      <w:pPr>
        <w:pStyle w:val="Normal"/>
        <w:rPr/>
      </w:pPr>
      <w:r>
        <w:rPr/>
        <w:tab/>
        <w:tab/>
        <w:tab/>
        <w:tab/>
        <w:tab/>
        <w:tab/>
      </w:r>
    </w:p>
    <w:tbl>
      <w:tblPr>
        <w:tblW w:w="9576" w:type="dxa"/>
        <w:jc w:val="start"/>
        <w:tblInd w:w="0" w:type="dxa"/>
        <w:tblLayout w:type="fixed"/>
        <w:tblCellMar>
          <w:top w:w="0" w:type="dxa"/>
          <w:start w:w="108" w:type="dxa"/>
          <w:bottom w:w="0" w:type="dxa"/>
          <w:end w:w="108" w:type="dxa"/>
        </w:tblCellMar>
      </w:tblPr>
      <w:tblGrid>
        <w:gridCol w:w="1548"/>
        <w:gridCol w:w="48"/>
        <w:gridCol w:w="1596"/>
        <w:gridCol w:w="1596"/>
        <w:gridCol w:w="1596"/>
        <w:gridCol w:w="1596"/>
        <w:gridCol w:w="48"/>
        <w:gridCol w:w="1548"/>
      </w:tblGrid>
      <w:tr>
        <w:trPr/>
        <w:tc>
          <w:tcPr>
            <w:tcW w:w="1548" w:type="dxa"/>
            <w:tcBorders/>
          </w:tcPr>
          <w:p>
            <w:pPr>
              <w:pStyle w:val="Normal"/>
              <w:snapToGrid w:val="false"/>
              <w:rPr/>
            </w:pPr>
            <w:r>
              <w:rPr/>
            </w:r>
          </w:p>
        </w:tc>
        <w:tc>
          <w:tcPr>
            <w:tcW w:w="3240" w:type="dxa"/>
            <w:gridSpan w:val="3"/>
            <w:tcBorders/>
          </w:tcPr>
          <w:p>
            <w:pPr>
              <w:pStyle w:val="Normal"/>
              <w:jc w:val="center"/>
              <w:rPr/>
            </w:pPr>
            <w:r>
              <w:rPr/>
              <w:t>Monthly Park (Returned)</w:t>
            </w:r>
          </w:p>
          <w:p>
            <w:pPr>
              <w:pStyle w:val="Normal"/>
              <w:jc w:val="center"/>
              <w:rPr>
                <w:u w:val="single"/>
              </w:rPr>
            </w:pPr>
            <w:r>
              <w:rPr>
                <w:u w:val="single"/>
              </w:rPr>
              <w:t>Quantity (Dekatherm)</w:t>
            </w:r>
          </w:p>
        </w:tc>
        <w:tc>
          <w:tcPr>
            <w:tcW w:w="3240" w:type="dxa"/>
            <w:gridSpan w:val="3"/>
            <w:tcBorders/>
          </w:tcPr>
          <w:p>
            <w:pPr>
              <w:pStyle w:val="Normal"/>
              <w:jc w:val="center"/>
              <w:rPr/>
            </w:pPr>
            <w:r>
              <w:rPr/>
              <w:t>Monthly Ride (Removed)</w:t>
            </w:r>
          </w:p>
          <w:p>
            <w:pPr>
              <w:pStyle w:val="Normal"/>
              <w:jc w:val="center"/>
              <w:rPr>
                <w:u w:val="single"/>
              </w:rPr>
            </w:pPr>
            <w:r>
              <w:rPr>
                <w:u w:val="single"/>
              </w:rPr>
              <w:t>Quantity (Dekatherm)</w:t>
            </w:r>
          </w:p>
        </w:tc>
        <w:tc>
          <w:tcPr>
            <w:tcW w:w="1548" w:type="dxa"/>
            <w:tcBorders/>
          </w:tcPr>
          <w:p>
            <w:pPr>
              <w:pStyle w:val="Normal"/>
              <w:snapToGrid w:val="false"/>
              <w:jc w:val="center"/>
              <w:rPr>
                <w:u w:val="single"/>
              </w:rPr>
            </w:pPr>
            <w:r>
              <w:rPr>
                <w:u w:val="single"/>
              </w:rPr>
            </w:r>
          </w:p>
          <w:p>
            <w:pPr>
              <w:pStyle w:val="Normal"/>
              <w:jc w:val="center"/>
              <w:rPr/>
            </w:pPr>
            <w:r>
              <w:rPr/>
              <w:t>Date Range</w:t>
            </w:r>
          </w:p>
        </w:tc>
      </w:tr>
      <w:tr>
        <w:trPr/>
        <w:tc>
          <w:tcPr>
            <w:tcW w:w="1596" w:type="dxa"/>
            <w:gridSpan w:val="2"/>
            <w:tcBorders/>
          </w:tcPr>
          <w:p>
            <w:pPr>
              <w:pStyle w:val="Normal"/>
              <w:jc w:val="center"/>
              <w:rPr>
                <w:u w:val="single"/>
              </w:rPr>
            </w:pPr>
            <w:r>
              <w:rPr>
                <w:u w:val="single"/>
              </w:rPr>
              <w:t>PNR POI#</w:t>
            </w:r>
          </w:p>
        </w:tc>
        <w:tc>
          <w:tcPr>
            <w:tcW w:w="1596" w:type="dxa"/>
            <w:tcBorders/>
          </w:tcPr>
          <w:p>
            <w:pPr>
              <w:pStyle w:val="Normal"/>
              <w:jc w:val="center"/>
              <w:rPr>
                <w:u w:val="single"/>
              </w:rPr>
            </w:pPr>
            <w:r>
              <w:rPr>
                <w:u w:val="single"/>
              </w:rPr>
              <w:t>Minimum</w:t>
            </w:r>
          </w:p>
        </w:tc>
        <w:tc>
          <w:tcPr>
            <w:tcW w:w="1596" w:type="dxa"/>
            <w:tcBorders/>
          </w:tcPr>
          <w:p>
            <w:pPr>
              <w:pStyle w:val="Normal"/>
              <w:jc w:val="center"/>
              <w:rPr>
                <w:u w:val="single"/>
              </w:rPr>
            </w:pPr>
            <w:r>
              <w:rPr>
                <w:u w:val="single"/>
              </w:rPr>
              <w:t>Maximum</w:t>
            </w:r>
          </w:p>
        </w:tc>
        <w:tc>
          <w:tcPr>
            <w:tcW w:w="1596" w:type="dxa"/>
            <w:tcBorders/>
          </w:tcPr>
          <w:p>
            <w:pPr>
              <w:pStyle w:val="Normal"/>
              <w:jc w:val="center"/>
              <w:rPr>
                <w:u w:val="single"/>
              </w:rPr>
            </w:pPr>
            <w:r>
              <w:rPr>
                <w:u w:val="single"/>
              </w:rPr>
              <w:t>Minimum</w:t>
            </w:r>
          </w:p>
        </w:tc>
        <w:tc>
          <w:tcPr>
            <w:tcW w:w="1596" w:type="dxa"/>
            <w:tcBorders/>
          </w:tcPr>
          <w:p>
            <w:pPr>
              <w:pStyle w:val="Normal"/>
              <w:jc w:val="center"/>
              <w:rPr>
                <w:u w:val="single"/>
              </w:rPr>
            </w:pPr>
            <w:r>
              <w:rPr>
                <w:u w:val="single"/>
              </w:rPr>
              <w:t>Maximum</w:t>
            </w:r>
          </w:p>
        </w:tc>
        <w:tc>
          <w:tcPr>
            <w:tcW w:w="1596" w:type="dxa"/>
            <w:gridSpan w:val="2"/>
            <w:tcBorders/>
          </w:tcPr>
          <w:p>
            <w:pPr>
              <w:pStyle w:val="Normal"/>
              <w:jc w:val="center"/>
              <w:rPr>
                <w:u w:val="single"/>
              </w:rPr>
            </w:pPr>
            <w:r>
              <w:rPr>
                <w:u w:val="single"/>
              </w:rPr>
              <w:t>To be in Effect</w:t>
            </w:r>
          </w:p>
        </w:tc>
      </w:tr>
      <w:tr>
        <w:trPr/>
        <w:tc>
          <w:tcPr>
            <w:tcW w:w="1596" w:type="dxa"/>
            <w:gridSpan w:val="2"/>
            <w:tcBorders/>
          </w:tcPr>
          <w:p>
            <w:pPr>
              <w:pStyle w:val="Normal"/>
              <w:snapToGrid w:val="false"/>
              <w:rPr>
                <w:u w:val="single"/>
              </w:rPr>
            </w:pPr>
            <w:r>
              <w:rPr>
                <w:u w:val="single"/>
              </w:rPr>
            </w:r>
          </w:p>
          <w:p>
            <w:pPr>
              <w:pStyle w:val="Normal"/>
              <w:rPr/>
            </w:pPr>
            <w:r>
              <w:rPr/>
              <w:t>_____________</w:t>
            </w:r>
          </w:p>
        </w:tc>
        <w:tc>
          <w:tcPr>
            <w:tcW w:w="1596" w:type="dxa"/>
            <w:tcBorders/>
          </w:tcPr>
          <w:p>
            <w:pPr>
              <w:pStyle w:val="Normal"/>
              <w:snapToGrid w:val="false"/>
              <w:rPr/>
            </w:pPr>
            <w:r>
              <w:rPr/>
            </w:r>
          </w:p>
          <w:p>
            <w:pPr>
              <w:pStyle w:val="Normal"/>
              <w:rPr/>
            </w:pPr>
            <w:r>
              <w:rPr/>
              <w:t>_____________</w:t>
            </w:r>
          </w:p>
        </w:tc>
        <w:tc>
          <w:tcPr>
            <w:tcW w:w="1596" w:type="dxa"/>
            <w:tcBorders/>
          </w:tcPr>
          <w:p>
            <w:pPr>
              <w:pStyle w:val="Normal"/>
              <w:snapToGrid w:val="false"/>
              <w:rPr/>
            </w:pPr>
            <w:r>
              <w:rPr/>
            </w:r>
          </w:p>
          <w:p>
            <w:pPr>
              <w:pStyle w:val="Normal"/>
              <w:rPr/>
            </w:pPr>
            <w:r>
              <w:rPr/>
              <w:t>_____________</w:t>
            </w:r>
          </w:p>
        </w:tc>
        <w:tc>
          <w:tcPr>
            <w:tcW w:w="1596" w:type="dxa"/>
            <w:tcBorders/>
          </w:tcPr>
          <w:p>
            <w:pPr>
              <w:pStyle w:val="Normal"/>
              <w:snapToGrid w:val="false"/>
              <w:rPr/>
            </w:pPr>
            <w:r>
              <w:rPr/>
            </w:r>
          </w:p>
          <w:p>
            <w:pPr>
              <w:pStyle w:val="Normal"/>
              <w:rPr/>
            </w:pPr>
            <w:r>
              <w:rPr/>
              <w:t>_____________</w:t>
            </w:r>
          </w:p>
        </w:tc>
        <w:tc>
          <w:tcPr>
            <w:tcW w:w="1596" w:type="dxa"/>
            <w:tcBorders/>
          </w:tcPr>
          <w:p>
            <w:pPr>
              <w:pStyle w:val="Normal"/>
              <w:snapToGrid w:val="false"/>
              <w:rPr/>
            </w:pPr>
            <w:r>
              <w:rPr/>
            </w:r>
          </w:p>
          <w:p>
            <w:pPr>
              <w:pStyle w:val="Normal"/>
              <w:rPr/>
            </w:pPr>
            <w:r>
              <w:rPr/>
              <w:t>_____________</w:t>
            </w:r>
          </w:p>
        </w:tc>
        <w:tc>
          <w:tcPr>
            <w:tcW w:w="1596" w:type="dxa"/>
            <w:gridSpan w:val="2"/>
            <w:tcBorders/>
          </w:tcPr>
          <w:p>
            <w:pPr>
              <w:pStyle w:val="Normal"/>
              <w:snapToGrid w:val="false"/>
              <w:rPr/>
            </w:pPr>
            <w:r>
              <w:rPr/>
            </w:r>
          </w:p>
          <w:p>
            <w:pPr>
              <w:pStyle w:val="Normal"/>
              <w:rPr/>
            </w:pPr>
            <w:r>
              <w:rPr/>
              <w:t>_____________</w:t>
            </w:r>
          </w:p>
        </w:tc>
      </w:tr>
      <w:tr>
        <w:trPr/>
        <w:tc>
          <w:tcPr>
            <w:tcW w:w="1596" w:type="dxa"/>
            <w:gridSpan w:val="2"/>
            <w:tcBorders/>
          </w:tcPr>
          <w:p>
            <w:pPr>
              <w:pStyle w:val="Normal"/>
              <w:snapToGrid w:val="false"/>
              <w:rPr/>
            </w:pPr>
            <w:r>
              <w:rPr/>
            </w:r>
          </w:p>
          <w:p>
            <w:pPr>
              <w:pStyle w:val="Normal"/>
              <w:rPr/>
            </w:pPr>
            <w:r>
              <w:rPr/>
              <w:t>_____________</w:t>
            </w:r>
          </w:p>
        </w:tc>
        <w:tc>
          <w:tcPr>
            <w:tcW w:w="1596" w:type="dxa"/>
            <w:tcBorders/>
          </w:tcPr>
          <w:p>
            <w:pPr>
              <w:pStyle w:val="Normal"/>
              <w:snapToGrid w:val="false"/>
              <w:rPr/>
            </w:pPr>
            <w:r>
              <w:rPr/>
            </w:r>
          </w:p>
          <w:p>
            <w:pPr>
              <w:pStyle w:val="Normal"/>
              <w:rPr/>
            </w:pPr>
            <w:r>
              <w:rPr/>
              <w:t>_____________</w:t>
            </w:r>
          </w:p>
        </w:tc>
        <w:tc>
          <w:tcPr>
            <w:tcW w:w="1596" w:type="dxa"/>
            <w:tcBorders/>
          </w:tcPr>
          <w:p>
            <w:pPr>
              <w:pStyle w:val="Normal"/>
              <w:snapToGrid w:val="false"/>
              <w:rPr/>
            </w:pPr>
            <w:r>
              <w:rPr/>
            </w:r>
          </w:p>
          <w:p>
            <w:pPr>
              <w:pStyle w:val="Normal"/>
              <w:rPr/>
            </w:pPr>
            <w:r>
              <w:rPr/>
              <w:t>_____________</w:t>
            </w:r>
          </w:p>
        </w:tc>
        <w:tc>
          <w:tcPr>
            <w:tcW w:w="1596" w:type="dxa"/>
            <w:tcBorders/>
          </w:tcPr>
          <w:p>
            <w:pPr>
              <w:pStyle w:val="Normal"/>
              <w:snapToGrid w:val="false"/>
              <w:rPr/>
            </w:pPr>
            <w:r>
              <w:rPr/>
            </w:r>
          </w:p>
          <w:p>
            <w:pPr>
              <w:pStyle w:val="Normal"/>
              <w:rPr/>
            </w:pPr>
            <w:r>
              <w:rPr/>
              <w:t>_____________</w:t>
            </w:r>
          </w:p>
        </w:tc>
        <w:tc>
          <w:tcPr>
            <w:tcW w:w="1596" w:type="dxa"/>
            <w:tcBorders/>
          </w:tcPr>
          <w:p>
            <w:pPr>
              <w:pStyle w:val="Normal"/>
              <w:snapToGrid w:val="false"/>
              <w:rPr/>
            </w:pPr>
            <w:r>
              <w:rPr/>
            </w:r>
          </w:p>
          <w:p>
            <w:pPr>
              <w:pStyle w:val="Normal"/>
              <w:rPr/>
            </w:pPr>
            <w:r>
              <w:rPr/>
              <w:t>_____________</w:t>
            </w:r>
          </w:p>
        </w:tc>
        <w:tc>
          <w:tcPr>
            <w:tcW w:w="1596" w:type="dxa"/>
            <w:gridSpan w:val="2"/>
            <w:tcBorders/>
          </w:tcPr>
          <w:p>
            <w:pPr>
              <w:pStyle w:val="Normal"/>
              <w:snapToGrid w:val="false"/>
              <w:rPr/>
            </w:pPr>
            <w:r>
              <w:rPr/>
            </w:r>
          </w:p>
          <w:p>
            <w:pPr>
              <w:pStyle w:val="Normal"/>
              <w:rPr/>
            </w:pPr>
            <w:r>
              <w:rPr/>
              <w:t>_____________</w:t>
            </w:r>
          </w:p>
        </w:tc>
      </w:tr>
      <w:tr>
        <w:trPr/>
        <w:tc>
          <w:tcPr>
            <w:tcW w:w="1596" w:type="dxa"/>
            <w:gridSpan w:val="2"/>
            <w:tcBorders/>
          </w:tcPr>
          <w:p>
            <w:pPr>
              <w:pStyle w:val="Normal"/>
              <w:snapToGrid w:val="false"/>
              <w:rPr/>
            </w:pPr>
            <w:r>
              <w:rPr/>
            </w:r>
          </w:p>
          <w:p>
            <w:pPr>
              <w:pStyle w:val="Normal"/>
              <w:rPr/>
            </w:pPr>
            <w:r>
              <w:rPr/>
              <w:t>_____________</w:t>
            </w:r>
          </w:p>
        </w:tc>
        <w:tc>
          <w:tcPr>
            <w:tcW w:w="1596" w:type="dxa"/>
            <w:tcBorders/>
          </w:tcPr>
          <w:p>
            <w:pPr>
              <w:pStyle w:val="Normal"/>
              <w:snapToGrid w:val="false"/>
              <w:rPr/>
            </w:pPr>
            <w:r>
              <w:rPr/>
            </w:r>
          </w:p>
          <w:p>
            <w:pPr>
              <w:pStyle w:val="Normal"/>
              <w:rPr/>
            </w:pPr>
            <w:r>
              <w:rPr/>
              <w:t>_____________</w:t>
            </w:r>
          </w:p>
        </w:tc>
        <w:tc>
          <w:tcPr>
            <w:tcW w:w="1596" w:type="dxa"/>
            <w:tcBorders/>
          </w:tcPr>
          <w:p>
            <w:pPr>
              <w:pStyle w:val="Normal"/>
              <w:snapToGrid w:val="false"/>
              <w:rPr/>
            </w:pPr>
            <w:r>
              <w:rPr/>
            </w:r>
          </w:p>
          <w:p>
            <w:pPr>
              <w:pStyle w:val="Normal"/>
              <w:rPr/>
            </w:pPr>
            <w:r>
              <w:rPr/>
              <w:t>_____________</w:t>
            </w:r>
          </w:p>
        </w:tc>
        <w:tc>
          <w:tcPr>
            <w:tcW w:w="1596" w:type="dxa"/>
            <w:tcBorders/>
          </w:tcPr>
          <w:p>
            <w:pPr>
              <w:pStyle w:val="Normal"/>
              <w:snapToGrid w:val="false"/>
              <w:rPr/>
            </w:pPr>
            <w:r>
              <w:rPr/>
            </w:r>
          </w:p>
          <w:p>
            <w:pPr>
              <w:pStyle w:val="Normal"/>
              <w:rPr/>
            </w:pPr>
            <w:r>
              <w:rPr/>
              <w:t>_____________</w:t>
            </w:r>
          </w:p>
        </w:tc>
        <w:tc>
          <w:tcPr>
            <w:tcW w:w="1596" w:type="dxa"/>
            <w:tcBorders/>
          </w:tcPr>
          <w:p>
            <w:pPr>
              <w:pStyle w:val="Normal"/>
              <w:snapToGrid w:val="false"/>
              <w:rPr/>
            </w:pPr>
            <w:r>
              <w:rPr/>
            </w:r>
          </w:p>
          <w:p>
            <w:pPr>
              <w:pStyle w:val="Normal"/>
              <w:rPr/>
            </w:pPr>
            <w:r>
              <w:rPr/>
              <w:t>_____________</w:t>
            </w:r>
          </w:p>
        </w:tc>
        <w:tc>
          <w:tcPr>
            <w:tcW w:w="1596" w:type="dxa"/>
            <w:gridSpan w:val="2"/>
            <w:tcBorders/>
          </w:tcPr>
          <w:p>
            <w:pPr>
              <w:pStyle w:val="Normal"/>
              <w:snapToGrid w:val="false"/>
              <w:rPr/>
            </w:pPr>
            <w:r>
              <w:rPr/>
            </w:r>
          </w:p>
          <w:p>
            <w:pPr>
              <w:pStyle w:val="Normal"/>
              <w:rPr/>
            </w:pPr>
            <w:r>
              <w:rPr/>
              <w:t>_____________</w:t>
            </w:r>
          </w:p>
        </w:tc>
      </w:tr>
    </w:tbl>
    <w:p>
      <w:pPr>
        <w:pStyle w:val="Normal"/>
        <w:rPr/>
      </w:pPr>
      <w:r>
        <w:rPr/>
      </w:r>
    </w:p>
    <w:p>
      <w:pPr>
        <w:pStyle w:val="Normal"/>
        <w:rPr/>
      </w:pPr>
      <w:r>
        <w:rPr/>
        <w:t>Daily PNR Charge($/dt):________________</w:t>
        <w:tab/>
        <w:t>Total Deal Rate($/dt):___________________</w:t>
      </w:r>
    </w:p>
    <w:p>
      <w:pPr>
        <w:pStyle w:val="Normal"/>
        <w:rPr/>
      </w:pPr>
      <w:r>
        <w:rPr/>
      </w:r>
    </w:p>
    <w:p>
      <w:pPr>
        <w:pStyle w:val="Normal"/>
        <w:rPr/>
      </w:pPr>
      <w:r>
        <w:rPr/>
        <w:t>Other Provisions:</w:t>
      </w:r>
    </w:p>
    <w:p>
      <w:pPr>
        <w:pStyle w:val="Normal"/>
        <w:rPr/>
      </w:pPr>
      <w:r>
        <w:rPr/>
      </w:r>
    </w:p>
    <w:p>
      <w:pPr>
        <w:pStyle w:val="Normal"/>
        <w:rPr/>
      </w:pPr>
      <w:r>
        <w:rPr/>
      </w:r>
    </w:p>
    <w:p>
      <w:pPr>
        <w:pStyle w:val="Normal"/>
        <w:rPr/>
      </w:pPr>
      <w:r>
        <w:rPr/>
      </w:r>
    </w:p>
    <w:p>
      <w:pPr>
        <w:pStyle w:val="Normal"/>
        <w:rPr/>
      </w:pPr>
      <w:r>
        <w:rPr/>
      </w:r>
    </w:p>
    <w:p>
      <w:pPr>
        <w:pStyle w:val="Normal"/>
        <w:ind w:firstLine="720" w:end="0"/>
        <w:rPr/>
      </w:pPr>
      <w:r>
        <w:rPr/>
        <w:t>"Buyer"</w:t>
        <w:tab/>
        <w:tab/>
        <w:tab/>
        <w:tab/>
        <w:tab/>
        <w:tab/>
        <w:t>"Seller"</w:t>
      </w:r>
    </w:p>
    <w:p>
      <w:pPr>
        <w:pStyle w:val="Normal"/>
        <w:rPr/>
      </w:pPr>
      <w:r>
        <w:rPr/>
      </w:r>
    </w:p>
    <w:p>
      <w:pPr>
        <w:pStyle w:val="Normal"/>
        <w:rPr/>
      </w:pPr>
      <w:r>
        <w:rPr/>
        <w:t>________________________________</w:t>
        <w:tab/>
        <w:tab/>
        <w:tab/>
        <w:t>TRANSWESTERN PIPELINE COMPANY</w:t>
      </w:r>
    </w:p>
    <w:p>
      <w:pPr>
        <w:pStyle w:val="Normal"/>
        <w:rPr/>
      </w:pPr>
      <w:r>
        <w:rPr/>
      </w:r>
    </w:p>
    <w:p>
      <w:pPr>
        <w:pStyle w:val="Normal"/>
        <w:rPr/>
      </w:pPr>
      <w:r>
        <w:rPr/>
        <w:t>By:_____________________________</w:t>
        <w:tab/>
        <w:tab/>
        <w:tab/>
        <w:t>By:______________________________</w:t>
      </w:r>
    </w:p>
    <w:p>
      <w:pPr>
        <w:pStyle w:val="Normal"/>
        <w:ind w:firstLine="720" w:end="0"/>
        <w:rPr/>
      </w:pPr>
      <w:r>
        <w:rPr/>
      </w:r>
    </w:p>
    <w:p>
      <w:pPr>
        <w:pStyle w:val="Normal"/>
        <w:rPr/>
      </w:pPr>
      <w:r>
        <w:rPr/>
        <w:t>Title:___________________________</w:t>
        <w:tab/>
        <w:tab/>
        <w:tab/>
        <w:t>Title:______________________________</w:t>
      </w:r>
    </w:p>
    <w:p>
      <w:pPr>
        <w:pStyle w:val="Normal"/>
        <w:rPr/>
      </w:pPr>
      <w:r>
        <w:rPr/>
      </w:r>
    </w:p>
    <w:sectPr>
      <w:headerReference w:type="default" r:id="rId2"/>
      <w:type w:val="nextPage"/>
      <w:pgSz w:w="12240" w:h="15840"/>
      <w:pgMar w:left="1584" w:right="1584" w:gutter="0" w:header="720" w:top="1440"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TRANSWESTERN PIPELINE COMPANY</w:t>
    </w:r>
  </w:p>
  <w:p>
    <w:pPr>
      <w:pStyle w:val="Header"/>
      <w:jc w:val="center"/>
      <w:rPr/>
    </w:pPr>
    <w:r>
      <w:rPr/>
      <w:t>Park and Ride Billing Process Procedures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2001-01-24T13:52:00Z</dcterms:created>
  <dc:creator>Enron</dc:creator>
  <dc:description/>
  <dc:language>en-CA</dc:language>
  <cp:lastModifiedBy>Enron</cp:lastModifiedBy>
  <cp:lastPrinted>2001-01-29T09:20:00Z</cp:lastPrinted>
  <dcterms:modified xsi:type="dcterms:W3CDTF">2001-01-29T18:53:00Z</dcterms:modified>
  <cp:revision>10</cp:revision>
  <dc:subject/>
  <dc:title> Rates will be posted on the Internet at the beginning of each month and updated as necessary throughout the month</dc:title>
</cp:coreProperties>
</file>