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Cs w:val="24"/>
        </w:rPr>
      </w:pPr>
      <w:r>
        <w:rPr>
          <w:szCs w:val="24"/>
        </w:rPr>
      </w:r>
    </w:p>
    <w:p>
      <w:pPr>
        <w:pStyle w:val="Header"/>
        <w:tabs>
          <w:tab w:val="clear" w:pos="4320"/>
          <w:tab w:val="clear" w:pos="8640"/>
        </w:tabs>
        <w:rPr>
          <w:szCs w:val="24"/>
        </w:rPr>
      </w:pPr>
      <w:r>
        <w:rPr>
          <w:szCs w:val="24"/>
        </w:rPr>
      </w:r>
    </w:p>
    <w:p>
      <w:pPr>
        <w:pStyle w:val="Header"/>
        <w:tabs>
          <w:tab w:val="clear" w:pos="4320"/>
          <w:tab w:val="clear" w:pos="8640"/>
        </w:tabs>
        <w:rPr>
          <w:szCs w:val="24"/>
        </w:rPr>
      </w:pPr>
      <w:r>
        <w:rPr>
          <w:szCs w:val="24"/>
        </w:rPr>
        <w:t>June 18, 2001</w:t>
      </w:r>
    </w:p>
    <w:p>
      <w:pPr>
        <w:pStyle w:val="Normal"/>
        <w:rPr>
          <w:szCs w:val="24"/>
        </w:rPr>
      </w:pPr>
      <w:r>
        <w:rPr>
          <w:szCs w:val="24"/>
        </w:rPr>
      </w:r>
    </w:p>
    <w:p>
      <w:pPr>
        <w:pStyle w:val="Normal"/>
        <w:rPr/>
      </w:pPr>
      <w:r>
        <w:rPr/>
        <w:t>Jeff Fawcett</w:t>
      </w:r>
    </w:p>
    <w:p>
      <w:pPr>
        <w:pStyle w:val="Normal"/>
        <w:rPr/>
      </w:pPr>
      <w:r>
        <w:rPr/>
        <w:t>Enron Transportation and Storage</w:t>
      </w:r>
    </w:p>
    <w:p>
      <w:pPr>
        <w:pStyle w:val="Normal"/>
        <w:rPr/>
      </w:pPr>
      <w:r>
        <w:rPr/>
        <w:t>1400 Smith St</w:t>
      </w:r>
    </w:p>
    <w:p>
      <w:pPr>
        <w:pStyle w:val="Normal"/>
        <w:rPr/>
      </w:pPr>
      <w:r>
        <w:rPr/>
        <w:t>Houston Tx, 77002</w:t>
      </w:r>
    </w:p>
    <w:p>
      <w:pPr>
        <w:pStyle w:val="Normal"/>
        <w:rPr/>
      </w:pPr>
      <w:r>
        <w:rPr/>
        <w:t>Voice 713.853.1521</w:t>
      </w:r>
    </w:p>
    <w:p>
      <w:pPr>
        <w:pStyle w:val="Normal"/>
        <w:rPr/>
      </w:pPr>
      <w:hyperlink r:id="rId2">
        <w:r>
          <w:rPr>
            <w:rStyle w:val="Hyperlink"/>
          </w:rPr>
          <w:t>jfawcet@enron.com</w:t>
        </w:r>
      </w:hyperlink>
      <w:r>
        <w:rPr/>
        <w:tab/>
      </w:r>
    </w:p>
    <w:p>
      <w:pPr>
        <w:pStyle w:val="Normal"/>
        <w:rPr/>
      </w:pPr>
      <w:r>
        <w:rPr/>
      </w:r>
    </w:p>
    <w:p>
      <w:pPr>
        <w:pStyle w:val="Normal"/>
        <w:rPr/>
      </w:pPr>
      <w:r>
        <w:rPr/>
      </w:r>
    </w:p>
    <w:p>
      <w:pPr>
        <w:pStyle w:val="Normal"/>
        <w:rPr/>
      </w:pPr>
      <w:r>
        <w:rPr/>
        <w:t xml:space="preserve">Re:  Expression of Interest </w:t>
      </w:r>
    </w:p>
    <w:p>
      <w:pPr>
        <w:pStyle w:val="Normal"/>
        <w:rPr/>
      </w:pPr>
      <w:r>
        <w:rPr/>
      </w:r>
    </w:p>
    <w:p>
      <w:pPr>
        <w:pStyle w:val="Normal"/>
        <w:rPr/>
      </w:pPr>
      <w:r>
        <w:rPr/>
      </w:r>
    </w:p>
    <w:p>
      <w:pPr>
        <w:pStyle w:val="BodyText"/>
        <w:rPr>
          <w:sz w:val="24"/>
        </w:rPr>
      </w:pPr>
      <w:r>
        <w:rPr>
          <w:sz w:val="24"/>
        </w:rPr>
        <w:t xml:space="preserve">Dear Jeff, </w:t>
      </w:r>
    </w:p>
    <w:p>
      <w:pPr>
        <w:pStyle w:val="BodyText"/>
        <w:rPr>
          <w:sz w:val="24"/>
        </w:rPr>
      </w:pPr>
      <w:r>
        <w:rPr>
          <w:sz w:val="24"/>
        </w:rPr>
      </w:r>
    </w:p>
    <w:p>
      <w:pPr>
        <w:pStyle w:val="BodyText"/>
        <w:rPr>
          <w:sz w:val="24"/>
        </w:rPr>
      </w:pPr>
      <w:r>
        <w:rPr>
          <w:sz w:val="24"/>
        </w:rPr>
        <w:t xml:space="preserve">Coral Energy L. P., (“Coral”) is pleased to respond with this expression of interest regarding the Transwestern Pipeline Company’s (“TW”) open season for capacity on the Red Rock expansion project.   </w:t>
      </w:r>
    </w:p>
    <w:p>
      <w:pPr>
        <w:pStyle w:val="BodyText"/>
        <w:rPr>
          <w:sz w:val="24"/>
        </w:rPr>
      </w:pPr>
      <w:r>
        <w:rPr>
          <w:sz w:val="24"/>
        </w:rPr>
      </w:r>
    </w:p>
    <w:p>
      <w:pPr>
        <w:pStyle w:val="BodyText"/>
        <w:rPr>
          <w:sz w:val="24"/>
        </w:rPr>
      </w:pPr>
      <w:r>
        <w:rPr>
          <w:sz w:val="24"/>
        </w:rPr>
        <w:t xml:space="preserve">Coral is in a position to provide TW the counterparty resources its seeks with respect to transacting under a long term basis for the release of this firm capacity.  Attached is information regarding the financial strength of Coral and the preliminary terms under which Coral understands the release of this capacity to be based upon.  </w:t>
      </w:r>
    </w:p>
    <w:p>
      <w:pPr>
        <w:pStyle w:val="BodyText"/>
        <w:rPr>
          <w:sz w:val="24"/>
        </w:rPr>
      </w:pPr>
      <w:r>
        <w:rPr>
          <w:sz w:val="24"/>
        </w:rPr>
      </w:r>
    </w:p>
    <w:p>
      <w:pPr>
        <w:pStyle w:val="BodyText"/>
        <w:rPr>
          <w:sz w:val="24"/>
        </w:rPr>
      </w:pPr>
      <w:r>
        <w:rPr>
          <w:sz w:val="24"/>
        </w:rPr>
        <w:t>Coral Contact:</w:t>
        <w:tab/>
        <w:tab/>
        <w:t>Mike Davis</w:t>
      </w:r>
    </w:p>
    <w:p>
      <w:pPr>
        <w:pStyle w:val="BodyText"/>
        <w:rPr>
          <w:sz w:val="24"/>
        </w:rPr>
      </w:pPr>
      <w:r>
        <w:rPr>
          <w:sz w:val="24"/>
        </w:rPr>
        <w:tab/>
        <w:tab/>
        <w:tab/>
        <w:t>Coral Energy Resources, L.P.</w:t>
      </w:r>
    </w:p>
    <w:p>
      <w:pPr>
        <w:pStyle w:val="BodyText"/>
        <w:rPr>
          <w:sz w:val="24"/>
        </w:rPr>
      </w:pPr>
      <w:r>
        <w:rPr>
          <w:sz w:val="24"/>
        </w:rPr>
        <w:tab/>
        <w:tab/>
        <w:tab/>
        <w:t>4320 La Jolla Village Drive, Suite 250</w:t>
      </w:r>
    </w:p>
    <w:p>
      <w:pPr>
        <w:pStyle w:val="BodyText"/>
        <w:ind w:firstLine="720" w:end="0"/>
        <w:rPr>
          <w:sz w:val="24"/>
        </w:rPr>
      </w:pPr>
      <w:r>
        <w:rPr>
          <w:sz w:val="24"/>
        </w:rPr>
        <w:tab/>
        <w:tab/>
        <w:t>San Diego, CA   92122</w:t>
      </w:r>
    </w:p>
    <w:p>
      <w:pPr>
        <w:pStyle w:val="BodyText"/>
        <w:rPr>
          <w:sz w:val="24"/>
        </w:rPr>
      </w:pPr>
      <w:r>
        <w:rPr>
          <w:sz w:val="24"/>
        </w:rPr>
        <w:tab/>
        <w:tab/>
        <w:tab/>
        <w:t>Office</w:t>
        <w:tab/>
        <w:t>858.526.2184</w:t>
      </w:r>
    </w:p>
    <w:p>
      <w:pPr>
        <w:pStyle w:val="BodyText"/>
        <w:ind w:firstLine="720" w:end="0"/>
        <w:rPr>
          <w:sz w:val="24"/>
        </w:rPr>
      </w:pPr>
      <w:r>
        <w:rPr>
          <w:sz w:val="24"/>
        </w:rPr>
        <w:tab/>
        <w:tab/>
        <w:t>Fax</w:t>
        <w:tab/>
        <w:t>858.320.1550</w:t>
      </w:r>
    </w:p>
    <w:p>
      <w:pPr>
        <w:pStyle w:val="BodyText"/>
        <w:rPr>
          <w:sz w:val="24"/>
        </w:rPr>
      </w:pPr>
      <w:r>
        <w:rPr>
          <w:sz w:val="24"/>
        </w:rPr>
        <w:tab/>
        <w:tab/>
        <w:tab/>
        <w:t>Cell</w:t>
        <w:tab/>
        <w:t>858.232.4796</w:t>
      </w:r>
    </w:p>
    <w:p>
      <w:pPr>
        <w:pStyle w:val="BodyText"/>
        <w:rPr>
          <w:sz w:val="24"/>
        </w:rPr>
      </w:pPr>
      <w:r>
        <w:rPr>
          <w:sz w:val="24"/>
        </w:rPr>
        <w:tab/>
        <w:tab/>
        <w:tab/>
        <w:t>E-mail</w:t>
        <w:tab/>
      </w:r>
      <w:hyperlink r:id="rId3">
        <w:r>
          <w:rPr>
            <w:rStyle w:val="Hyperlink"/>
            <w:sz w:val="24"/>
          </w:rPr>
          <w:t>mdavis02@coral-energy.com</w:t>
        </w:r>
      </w:hyperlink>
    </w:p>
    <w:p>
      <w:pPr>
        <w:pStyle w:val="BodyText"/>
        <w:rPr>
          <w:sz w:val="24"/>
        </w:rPr>
      </w:pPr>
      <w:r>
        <w:rPr>
          <w:sz w:val="24"/>
        </w:rPr>
      </w:r>
    </w:p>
    <w:p>
      <w:pPr>
        <w:pStyle w:val="BodyText"/>
        <w:rPr>
          <w:sz w:val="24"/>
        </w:rPr>
      </w:pPr>
      <w:r>
        <w:rPr>
          <w:sz w:val="24"/>
        </w:rPr>
        <w:t>Thank you for the opportunity.  If you have any questions, please don’t hesitate to contact me.</w:t>
      </w:r>
    </w:p>
    <w:p>
      <w:pPr>
        <w:pStyle w:val="BodyText"/>
        <w:rPr>
          <w:sz w:val="24"/>
        </w:rPr>
      </w:pPr>
      <w:r>
        <w:rPr>
          <w:sz w:val="24"/>
        </w:rPr>
      </w:r>
    </w:p>
    <w:p>
      <w:pPr>
        <w:pStyle w:val="BodyText"/>
        <w:rPr>
          <w:sz w:val="24"/>
        </w:rPr>
      </w:pPr>
      <w:r>
        <w:rPr>
          <w:sz w:val="24"/>
        </w:rPr>
        <w:t>Sincerely,</w:t>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t xml:space="preserve">Mike Davis </w:t>
      </w:r>
    </w:p>
    <w:p>
      <w:pPr>
        <w:pStyle w:val="BodyText"/>
        <w:rPr>
          <w:sz w:val="24"/>
        </w:rPr>
      </w:pPr>
      <w:r>
        <w:rPr>
          <w:sz w:val="24"/>
        </w:rPr>
        <w:t>Manager Origination</w:t>
      </w:r>
      <w:r>
        <w:br w:type="page"/>
      </w:r>
    </w:p>
    <w:p>
      <w:pPr>
        <w:pStyle w:val="BodyText"/>
        <w:rPr>
          <w:sz w:val="24"/>
        </w:rPr>
      </w:pPr>
      <w:r>
        <w:rPr>
          <w:sz w:val="24"/>
        </w:rPr>
      </w:r>
    </w:p>
    <w:p>
      <w:pPr>
        <w:pStyle w:val="Heading3"/>
        <w:ind w:hanging="0" w:start="0"/>
        <w:jc w:val="both"/>
        <w:rPr>
          <w:b w:val="false"/>
          <w:bCs/>
          <w:sz w:val="24"/>
        </w:rPr>
      </w:pPr>
      <w:r>
        <w:rPr>
          <w:b w:val="false"/>
          <w:bCs/>
          <w:sz w:val="24"/>
        </w:rPr>
      </w:r>
    </w:p>
    <w:p>
      <w:pPr>
        <w:pStyle w:val="Heading3"/>
        <w:ind w:hanging="0" w:start="0"/>
        <w:jc w:val="both"/>
        <w:rPr/>
      </w:pPr>
      <w:r>
        <w:rPr/>
        <w:t xml:space="preserve">FINANCIAL STRENGTH AND CREDITWORTHINESS </w:t>
      </w:r>
    </w:p>
    <w:p>
      <w:pPr>
        <w:pStyle w:val="Normal"/>
        <w:rPr/>
      </w:pPr>
      <w:r>
        <w:rPr/>
      </w:r>
    </w:p>
    <w:p>
      <w:pPr>
        <w:pStyle w:val="BodyText"/>
        <w:rPr>
          <w:sz w:val="24"/>
        </w:rPr>
      </w:pPr>
      <w:r>
        <w:rPr>
          <w:sz w:val="24"/>
        </w:rPr>
        <w:t>Coral Energy Resources, L.P. is a wholly owned subsidiary of Coral Energy L.P., an AAA rated company and affiliate of Shell.  A parent guarantee could be provided as appropriate. Coral Power, LLC is registered in Delaware under the parent company name of, Coral Energy Holding, L.P. LLP located at 909 Fannin, Suite 700, Houston, TX 77010, (713) 767-5400.</w:t>
      </w:r>
    </w:p>
    <w:p>
      <w:pPr>
        <w:pStyle w:val="Normal"/>
        <w:ind w:start="270" w:end="0"/>
        <w:rPr>
          <w:sz w:val="24"/>
        </w:rPr>
      </w:pPr>
      <w:r>
        <w:rPr>
          <w:sz w:val="24"/>
        </w:rPr>
      </w:r>
    </w:p>
    <w:p>
      <w:pPr>
        <w:pStyle w:val="Normal"/>
        <w:ind w:start="720" w:end="0"/>
        <w:rPr/>
      </w:pPr>
      <w:r>
        <w:rPr/>
        <w:t>Standard &amp; Poors Rating:</w:t>
        <w:tab/>
        <w:t>AAA</w:t>
      </w:r>
    </w:p>
    <w:p>
      <w:pPr>
        <w:pStyle w:val="Normal"/>
        <w:ind w:start="720" w:end="0"/>
        <w:rPr/>
      </w:pPr>
      <w:r>
        <w:rPr/>
        <w:t>Moody’s Rating:</w:t>
        <w:tab/>
        <w:tab/>
        <w:t>A1</w:t>
      </w:r>
    </w:p>
    <w:p>
      <w:pPr>
        <w:pStyle w:val="Normal"/>
        <w:ind w:start="720" w:end="0"/>
        <w:rPr/>
      </w:pPr>
      <w:r>
        <w:rPr/>
        <w:t>D&amp;B Rating:</w:t>
        <w:tab/>
        <w:tab/>
        <w:tab/>
        <w:t>5A2</w:t>
      </w:r>
    </w:p>
    <w:p>
      <w:pPr>
        <w:pStyle w:val="Normal"/>
        <w:ind w:start="720" w:end="0"/>
        <w:rPr/>
      </w:pPr>
      <w:r>
        <w:rPr/>
        <w:t>D&amp;B Number:</w:t>
        <w:tab/>
        <w:tab/>
        <w:tab/>
        <w:t>83-756-5548</w:t>
      </w:r>
    </w:p>
    <w:p>
      <w:pPr>
        <w:pStyle w:val="Normal"/>
        <w:ind w:start="720" w:end="0"/>
        <w:rPr/>
      </w:pPr>
      <w:r>
        <w:rPr/>
      </w:r>
    </w:p>
    <w:p>
      <w:pPr>
        <w:pStyle w:val="Normal"/>
        <w:ind w:start="720" w:end="0"/>
        <w:rPr/>
      </w:pPr>
      <w:r>
        <w:rPr/>
        <w:t>Affiliate Dun &amp; Bradstreet Numbers:</w:t>
      </w:r>
    </w:p>
    <w:p>
      <w:pPr>
        <w:pStyle w:val="Normal"/>
        <w:ind w:start="720" w:end="0"/>
        <w:rPr/>
      </w:pPr>
      <w:r>
        <w:rPr/>
        <w:t>Catex Coral Energy, LLC</w:t>
        <w:tab/>
        <w:t>95-697-6930</w:t>
      </w:r>
    </w:p>
    <w:p>
      <w:pPr>
        <w:pStyle w:val="Normal"/>
        <w:ind w:start="720" w:end="0"/>
        <w:rPr/>
      </w:pPr>
      <w:r>
        <w:rPr/>
        <w:t>Coral Energy Resources, LP</w:t>
        <w:tab/>
        <w:t>01-501-4421</w:t>
      </w:r>
    </w:p>
    <w:p>
      <w:pPr>
        <w:pStyle w:val="Normal"/>
        <w:ind w:start="720" w:end="0"/>
        <w:rPr/>
      </w:pPr>
      <w:r>
        <w:rPr/>
        <w:t>Coral Energy Holding, L.P</w:t>
        <w:tab/>
        <w:t>93-751-7266</w:t>
      </w:r>
    </w:p>
    <w:p>
      <w:pPr>
        <w:pStyle w:val="Normal"/>
        <w:ind w:start="720" w:end="0"/>
        <w:rPr/>
      </w:pPr>
      <w:r>
        <w:rPr/>
        <w:t>Coral Energy Canada Inc.</w:t>
        <w:tab/>
        <w:t>25-357-5609</w:t>
      </w:r>
    </w:p>
    <w:p>
      <w:pPr>
        <w:pStyle w:val="Normal"/>
        <w:ind w:start="270" w:end="0"/>
        <w:rPr/>
      </w:pPr>
      <w:r>
        <w:rPr/>
      </w:r>
    </w:p>
    <w:p>
      <w:pPr>
        <w:pStyle w:val="BodyText"/>
        <w:rPr>
          <w:b/>
          <w:sz w:val="24"/>
        </w:rPr>
      </w:pPr>
      <w:r>
        <w:rPr>
          <w:b/>
          <w:sz w:val="24"/>
        </w:rPr>
      </w:r>
    </w:p>
    <w:p>
      <w:pPr>
        <w:pStyle w:val="BodyText"/>
        <w:rPr>
          <w:b/>
          <w:sz w:val="24"/>
        </w:rPr>
      </w:pPr>
      <w:r>
        <w:rPr>
          <w:b/>
          <w:sz w:val="24"/>
        </w:rPr>
        <w:t>Bank Reference</w:t>
      </w:r>
    </w:p>
    <w:p>
      <w:pPr>
        <w:pStyle w:val="BodyText"/>
        <w:rPr>
          <w:sz w:val="24"/>
        </w:rPr>
      </w:pPr>
      <w:r>
        <w:rPr>
          <w:sz w:val="24"/>
        </w:rPr>
        <w:t xml:space="preserve">Chase Bank of Texas N.A. </w:t>
      </w:r>
    </w:p>
    <w:p>
      <w:pPr>
        <w:pStyle w:val="BodyText"/>
        <w:rPr>
          <w:sz w:val="24"/>
        </w:rPr>
      </w:pPr>
      <w:r>
        <w:rPr>
          <w:sz w:val="24"/>
        </w:rPr>
        <w:t xml:space="preserve">713 Main Street </w:t>
      </w:r>
    </w:p>
    <w:p>
      <w:pPr>
        <w:pStyle w:val="BodyText"/>
        <w:rPr>
          <w:sz w:val="24"/>
        </w:rPr>
      </w:pPr>
      <w:r>
        <w:rPr>
          <w:sz w:val="24"/>
        </w:rPr>
        <w:t xml:space="preserve">Mail Station 05-CBBS-84 </w:t>
      </w:r>
    </w:p>
    <w:p>
      <w:pPr>
        <w:pStyle w:val="BodyText"/>
        <w:rPr>
          <w:sz w:val="24"/>
        </w:rPr>
      </w:pPr>
      <w:r>
        <w:rPr>
          <w:sz w:val="24"/>
        </w:rPr>
        <w:t xml:space="preserve">Houston, TX 77002 </w:t>
      </w:r>
    </w:p>
    <w:p>
      <w:pPr>
        <w:pStyle w:val="Normal"/>
        <w:rPr/>
      </w:pPr>
      <w:r>
        <w:rPr/>
        <w:t>Attn: Ms. Elizabeth Cantu</w:t>
      </w:r>
    </w:p>
    <w:p>
      <w:pPr>
        <w:pStyle w:val="Normal"/>
        <w:rPr/>
      </w:pPr>
      <w:r>
        <w:rPr/>
      </w:r>
    </w:p>
    <w:p>
      <w:pPr>
        <w:pStyle w:val="Normal"/>
        <w:rPr/>
      </w:pPr>
      <w:r>
        <w:rPr/>
      </w:r>
    </w:p>
    <w:p>
      <w:pPr>
        <w:pStyle w:val="BodyTextIndent3"/>
        <w:ind w:start="0" w:end="0"/>
        <w:rPr>
          <w:b/>
          <w:bCs/>
          <w:sz w:val="24"/>
          <w:u w:val="single"/>
        </w:rPr>
      </w:pPr>
      <w:r>
        <w:rPr>
          <w:b/>
          <w:bCs/>
          <w:sz w:val="24"/>
          <w:u w:val="single"/>
        </w:rPr>
      </w:r>
      <w:r>
        <w:br w:type="page"/>
      </w:r>
    </w:p>
    <w:p>
      <w:pPr>
        <w:pStyle w:val="BodyText"/>
        <w:rPr>
          <w:b/>
          <w:bCs/>
          <w:sz w:val="24"/>
          <w:u w:val="single"/>
        </w:rPr>
      </w:pPr>
      <w:r>
        <w:rPr>
          <w:b/>
          <w:bCs/>
          <w:sz w:val="24"/>
          <w:u w:val="single"/>
        </w:rPr>
      </w:r>
    </w:p>
    <w:p>
      <w:pPr>
        <w:pStyle w:val="BodyText"/>
        <w:rPr>
          <w:b/>
          <w:sz w:val="24"/>
          <w:u w:val="single"/>
        </w:rPr>
      </w:pPr>
      <w:r>
        <w:rPr>
          <w:b/>
          <w:bCs/>
          <w:sz w:val="24"/>
          <w:u w:val="single"/>
        </w:rPr>
        <w:t>TERMS</w:t>
      </w:r>
    </w:p>
    <w:p>
      <w:pPr>
        <w:pStyle w:val="BodyText"/>
        <w:rPr>
          <w:b/>
          <w:sz w:val="24"/>
          <w:u w:val="single"/>
        </w:rPr>
      </w:pPr>
      <w:r>
        <w:rPr>
          <w:b/>
          <w:sz w:val="24"/>
          <w:u w:val="single"/>
        </w:rPr>
      </w:r>
    </w:p>
    <w:p>
      <w:pPr>
        <w:pStyle w:val="BodyText"/>
        <w:rPr>
          <w:b/>
          <w:bCs/>
          <w:sz w:val="24"/>
          <w:u w:val="single"/>
        </w:rPr>
      </w:pPr>
      <w:r>
        <w:rPr>
          <w:b/>
          <w:bCs/>
          <w:sz w:val="24"/>
          <w:u w:val="single"/>
        </w:rPr>
      </w:r>
    </w:p>
    <w:p>
      <w:pPr>
        <w:pStyle w:val="BodyText"/>
        <w:ind w:hanging="2880" w:start="2880" w:end="0"/>
        <w:rPr>
          <w:bCs/>
          <w:sz w:val="24"/>
        </w:rPr>
      </w:pPr>
      <w:r>
        <w:rPr>
          <w:bCs/>
          <w:sz w:val="24"/>
        </w:rPr>
        <w:t>1. Transaction:</w:t>
        <w:tab/>
        <w:t xml:space="preserve">TW desires to sell pipeline capacity to Coral and Coral desires to buy pipeline capacity from TW. </w:t>
      </w:r>
    </w:p>
    <w:p>
      <w:pPr>
        <w:pStyle w:val="BodyText"/>
        <w:rPr>
          <w:bCs/>
          <w:sz w:val="24"/>
        </w:rPr>
      </w:pPr>
      <w:r>
        <w:rPr>
          <w:bCs/>
          <w:sz w:val="24"/>
        </w:rPr>
      </w:r>
    </w:p>
    <w:p>
      <w:pPr>
        <w:pStyle w:val="BodyText"/>
        <w:rPr>
          <w:bCs/>
          <w:sz w:val="24"/>
        </w:rPr>
      </w:pPr>
      <w:r>
        <w:rPr>
          <w:bCs/>
          <w:sz w:val="24"/>
        </w:rPr>
      </w:r>
    </w:p>
    <w:p>
      <w:pPr>
        <w:pStyle w:val="BodyText"/>
        <w:rPr>
          <w:bCs/>
          <w:sz w:val="24"/>
        </w:rPr>
      </w:pPr>
      <w:r>
        <w:rPr>
          <w:bCs/>
          <w:sz w:val="24"/>
        </w:rPr>
        <w:t xml:space="preserve">2. Delivery Term: </w:t>
        <w:tab/>
        <w:tab/>
        <w:t xml:space="preserve">5 years, June 1, 2002 through May 31, 2007 </w:t>
      </w:r>
    </w:p>
    <w:p>
      <w:pPr>
        <w:pStyle w:val="BodyText"/>
        <w:rPr>
          <w:bCs/>
          <w:sz w:val="24"/>
        </w:rPr>
      </w:pPr>
      <w:r>
        <w:rPr>
          <w:bCs/>
          <w:sz w:val="24"/>
        </w:rPr>
      </w:r>
    </w:p>
    <w:p>
      <w:pPr>
        <w:pStyle w:val="BodyText"/>
        <w:rPr>
          <w:bCs/>
          <w:sz w:val="24"/>
        </w:rPr>
      </w:pPr>
      <w:r>
        <w:rPr>
          <w:bCs/>
          <w:sz w:val="24"/>
        </w:rPr>
      </w:r>
    </w:p>
    <w:p>
      <w:pPr>
        <w:pStyle w:val="BodyText"/>
        <w:rPr>
          <w:bCs/>
          <w:sz w:val="24"/>
        </w:rPr>
      </w:pPr>
      <w:r>
        <w:rPr>
          <w:bCs/>
          <w:sz w:val="24"/>
        </w:rPr>
        <w:t>3. Contract Quantity:</w:t>
        <w:tab/>
        <w:tab/>
        <w:t xml:space="preserve">Contract capacity of 15,000 MMbtu delivered </w:t>
      </w:r>
    </w:p>
    <w:p>
      <w:pPr>
        <w:pStyle w:val="BodyText"/>
        <w:rPr>
          <w:bCs/>
          <w:sz w:val="24"/>
        </w:rPr>
      </w:pPr>
      <w:r>
        <w:rPr>
          <w:bCs/>
          <w:sz w:val="24"/>
        </w:rPr>
      </w:r>
    </w:p>
    <w:p>
      <w:pPr>
        <w:pStyle w:val="BodyText"/>
        <w:rPr>
          <w:bCs/>
          <w:sz w:val="24"/>
        </w:rPr>
      </w:pPr>
      <w:r>
        <w:rPr>
          <w:bCs/>
          <w:sz w:val="24"/>
        </w:rPr>
      </w:r>
    </w:p>
    <w:p>
      <w:pPr>
        <w:pStyle w:val="BodyText"/>
        <w:rPr>
          <w:bCs/>
          <w:sz w:val="24"/>
        </w:rPr>
      </w:pPr>
      <w:r>
        <w:rPr>
          <w:bCs/>
          <w:sz w:val="24"/>
        </w:rPr>
        <w:t xml:space="preserve">4. Level of Firmness: </w:t>
        <w:tab/>
        <w:tab/>
        <w:t>Firm Service equivalent to the FTS Tariff</w:t>
      </w:r>
    </w:p>
    <w:p>
      <w:pPr>
        <w:pStyle w:val="BodyText"/>
        <w:rPr>
          <w:bCs/>
          <w:sz w:val="24"/>
        </w:rPr>
      </w:pPr>
      <w:r>
        <w:rPr>
          <w:bCs/>
          <w:sz w:val="24"/>
        </w:rPr>
      </w:r>
    </w:p>
    <w:p>
      <w:pPr>
        <w:pStyle w:val="BodyText"/>
        <w:rPr>
          <w:bCs/>
          <w:sz w:val="24"/>
        </w:rPr>
      </w:pPr>
      <w:r>
        <w:rPr>
          <w:bCs/>
          <w:sz w:val="24"/>
        </w:rPr>
      </w:r>
    </w:p>
    <w:p>
      <w:pPr>
        <w:pStyle w:val="BodyText"/>
        <w:rPr>
          <w:bCs/>
          <w:sz w:val="24"/>
        </w:rPr>
      </w:pPr>
      <w:r>
        <w:rPr>
          <w:bCs/>
          <w:sz w:val="24"/>
        </w:rPr>
        <w:t>5. Fuel Rate:</w:t>
        <w:tab/>
        <w:tab/>
        <w:tab/>
        <w:t>5%</w:t>
      </w:r>
    </w:p>
    <w:p>
      <w:pPr>
        <w:pStyle w:val="BodyText"/>
        <w:rPr>
          <w:bCs/>
          <w:sz w:val="24"/>
        </w:rPr>
      </w:pPr>
      <w:r>
        <w:rPr>
          <w:bCs/>
          <w:sz w:val="24"/>
        </w:rPr>
      </w:r>
    </w:p>
    <w:p>
      <w:pPr>
        <w:pStyle w:val="BodyText"/>
        <w:rPr>
          <w:b/>
          <w:sz w:val="24"/>
          <w:u w:val="single"/>
        </w:rPr>
      </w:pPr>
      <w:r>
        <w:rPr>
          <w:bCs/>
          <w:sz w:val="24"/>
        </w:rPr>
        <w:tab/>
        <w:tab/>
        <w:tab/>
        <w:tab/>
        <w:tab/>
        <w:tab/>
        <w:tab/>
      </w:r>
    </w:p>
    <w:p>
      <w:pPr>
        <w:pStyle w:val="BodyText"/>
        <w:ind w:hanging="2160" w:start="2160" w:end="0"/>
        <w:rPr>
          <w:bCs/>
          <w:sz w:val="24"/>
        </w:rPr>
      </w:pPr>
      <w:r>
        <w:rPr>
          <w:bCs/>
          <w:sz w:val="24"/>
        </w:rPr>
        <w:t>6. Price:</w:t>
        <w:tab/>
        <w:tab/>
        <w:t>.17 per MMbtu plus fuel</w:t>
      </w:r>
    </w:p>
    <w:p>
      <w:pPr>
        <w:pStyle w:val="BodyText"/>
        <w:ind w:hanging="2160" w:start="2160" w:end="0"/>
        <w:rPr>
          <w:bCs/>
          <w:sz w:val="24"/>
        </w:rPr>
      </w:pPr>
      <w:r>
        <w:rPr>
          <w:bCs/>
          <w:sz w:val="24"/>
        </w:rPr>
        <w:tab/>
      </w:r>
    </w:p>
    <w:p>
      <w:pPr>
        <w:pStyle w:val="BodyText"/>
        <w:ind w:hanging="2880" w:start="2880" w:end="0"/>
        <w:rPr>
          <w:bCs/>
          <w:sz w:val="24"/>
        </w:rPr>
      </w:pPr>
      <w:r>
        <w:rPr>
          <w:bCs/>
          <w:sz w:val="24"/>
        </w:rPr>
      </w:r>
    </w:p>
    <w:p>
      <w:pPr>
        <w:pStyle w:val="BodyText"/>
        <w:ind w:hanging="2880" w:start="2880" w:end="0"/>
        <w:rPr>
          <w:bCs/>
          <w:sz w:val="24"/>
        </w:rPr>
      </w:pPr>
      <w:r>
        <w:rPr>
          <w:bCs/>
          <w:sz w:val="24"/>
        </w:rPr>
        <w:t>7. Receipt Point:</w:t>
        <w:tab/>
        <w:t>East of Thoreau</w:t>
      </w:r>
    </w:p>
    <w:p>
      <w:pPr>
        <w:pStyle w:val="BodyText"/>
        <w:ind w:hanging="2880" w:start="2880" w:end="0"/>
        <w:rPr>
          <w:bCs/>
          <w:sz w:val="24"/>
        </w:rPr>
      </w:pPr>
      <w:r>
        <w:rPr>
          <w:bCs/>
          <w:sz w:val="24"/>
        </w:rPr>
      </w:r>
    </w:p>
    <w:p>
      <w:pPr>
        <w:pStyle w:val="BodyText"/>
        <w:ind w:hanging="2880" w:start="2880" w:end="0"/>
        <w:rPr>
          <w:bCs/>
          <w:sz w:val="24"/>
        </w:rPr>
      </w:pPr>
      <w:r>
        <w:rPr>
          <w:bCs/>
          <w:sz w:val="24"/>
        </w:rPr>
      </w:r>
    </w:p>
    <w:p>
      <w:pPr>
        <w:pStyle w:val="BodyText"/>
        <w:ind w:hanging="2880" w:start="2880" w:end="0"/>
        <w:rPr>
          <w:bCs/>
          <w:sz w:val="24"/>
        </w:rPr>
      </w:pPr>
      <w:r>
        <w:rPr>
          <w:bCs/>
          <w:sz w:val="24"/>
        </w:rPr>
        <w:t>8.  Delivery Point:</w:t>
        <w:tab/>
        <w:t>Into the Southern California Gas system at Needles</w:t>
      </w:r>
    </w:p>
    <w:p>
      <w:pPr>
        <w:pStyle w:val="BodyText"/>
        <w:ind w:hanging="2880" w:start="2880" w:end="0"/>
        <w:rPr>
          <w:bCs/>
          <w:sz w:val="24"/>
        </w:rPr>
      </w:pPr>
      <w:r>
        <w:rPr>
          <w:bCs/>
          <w:sz w:val="24"/>
        </w:rPr>
      </w:r>
    </w:p>
    <w:p>
      <w:pPr>
        <w:pStyle w:val="Normal"/>
        <w:ind w:start="270" w:end="0"/>
        <w:rPr>
          <w:bCs/>
          <w:sz w:val="24"/>
        </w:rPr>
      </w:pPr>
      <w:r>
        <w:rPr>
          <w:bCs/>
          <w:sz w:val="24"/>
        </w:rPr>
      </w:r>
    </w:p>
    <w:p>
      <w:pPr>
        <w:pStyle w:val="Normal"/>
        <w:ind w:start="270" w:end="0"/>
        <w:rPr/>
      </w:pPr>
      <w:r>
        <w:rPr/>
      </w:r>
    </w:p>
    <w:p>
      <w:pPr>
        <w:pStyle w:val="Normal"/>
        <w:ind w:start="270" w:end="0"/>
        <w:rPr/>
      </w:pPr>
      <w:r>
        <w:rPr/>
      </w:r>
    </w:p>
    <w:p>
      <w:pPr>
        <w:pStyle w:val="BodyText3"/>
        <w:rPr>
          <w:b/>
          <w:bCs/>
          <w:u w:val="single"/>
        </w:rPr>
      </w:pPr>
      <w:r>
        <w:rPr>
          <w:b/>
          <w:bCs/>
          <w:u w:val="single"/>
        </w:rPr>
        <w:t>NOT DEFINITIVE AND NOT BINDING</w:t>
      </w:r>
    </w:p>
    <w:p>
      <w:pPr>
        <w:pStyle w:val="BodyText3"/>
        <w:rPr>
          <w:b/>
          <w:bCs/>
          <w:u w:val="single"/>
        </w:rPr>
      </w:pPr>
      <w:r>
        <w:rPr>
          <w:b/>
          <w:bCs/>
          <w:u w:val="single"/>
        </w:rPr>
      </w:r>
    </w:p>
    <w:p>
      <w:pPr>
        <w:pStyle w:val="BodyText3"/>
        <w:rPr>
          <w:b/>
          <w:bCs/>
        </w:rPr>
      </w:pPr>
      <w:r>
        <w:rPr>
          <w:b/>
          <w:bCs/>
        </w:rPr>
        <w:t>This Term Sheet is to facilitate preliminary discussions between the parties and the preparation of definitive Agreements and is not intended to create a binding or enforceable agreement or to be a complete statement of all of the terms to be included in the Agreements.  Execution of the Agreements evidencing binding commitments to proceed with the transactions contemplated by this Term Sheet is subject to the negotiation of all appropriate provisions of the Agreements, including without limitation those relating to limitation of damages, and subsequent management approvals of the Agreements.  This Term Sheet is deemed confidential information of the parties.</w:t>
      </w:r>
    </w:p>
    <w:p>
      <w:pPr>
        <w:pStyle w:val="BodyText"/>
        <w:rPr>
          <w:b/>
          <w:bCs/>
          <w:sz w:val="24"/>
        </w:rPr>
      </w:pPr>
      <w:r>
        <w:rPr>
          <w:b/>
          <w:bCs/>
          <w:sz w:val="24"/>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entury Gothic" w:hAnsi="Century Gothic" w:cs="Century Gothic"/>
        <w:b/>
        <w:sz w:val="26"/>
      </w:rPr>
    </w:pPr>
    <w:r>
      <w:rPr>
        <w:rFonts w:cs="Century Gothic" w:ascii="Century Gothic" w:hAnsi="Century Gothic"/>
        <w:b/>
        <w:sz w:val="26"/>
      </w:rPr>
      <w:drawing>
        <wp:inline distT="0" distB="0" distL="0" distR="0">
          <wp:extent cx="1287780" cy="661670"/>
          <wp:effectExtent l="0" t="0" r="0" b="0"/>
          <wp:docPr id="1" name="Coral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alLogo" descr="" title=""/>
                  <pic:cNvPicPr>
                    <a:picLocks noChangeAspect="1" noChangeArrowheads="1"/>
                  </pic:cNvPicPr>
                </pic:nvPicPr>
                <pic:blipFill>
                  <a:blip r:embed="rId1"/>
                  <a:srcRect l="-28" t="-54" r="-28" b="-54"/>
                  <a:stretch>
                    <a:fillRect/>
                  </a:stretch>
                </pic:blipFill>
                <pic:spPr bwMode="auto">
                  <a:xfrm>
                    <a:off x="0" y="0"/>
                    <a:ext cx="1287780" cy="6616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outlineLvl w:val="2"/>
    </w:pPr>
    <w:rPr>
      <w:b/>
      <w:szCs w:val="20"/>
      <w:u w:val="single"/>
    </w:rPr>
  </w:style>
  <w:style w:type="paragraph" w:styleId="Heading4">
    <w:name w:val="heading 4"/>
    <w:basedOn w:val="Normal"/>
    <w:next w:val="Normal"/>
    <w:qFormat/>
    <w:pPr>
      <w:keepNext w:val="true"/>
      <w:numPr>
        <w:ilvl w:val="3"/>
        <w:numId w:val="1"/>
      </w:numPr>
      <w:jc w:val="center"/>
      <w:outlineLvl w:val="3"/>
    </w:pPr>
    <w:rPr>
      <w:b/>
      <w:szCs w:val="20"/>
      <w:u w:val="single"/>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BodyTextIndent3">
    <w:name w:val="Body Text Indent 3"/>
    <w:basedOn w:val="Normal"/>
    <w:qFormat/>
    <w:pPr>
      <w:ind w:hanging="0" w:start="360" w:end="0"/>
    </w:pPr>
    <w:rPr>
      <w:sz w:val="20"/>
      <w:szCs w:val="20"/>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fawcet@enron.com" TargetMode="External"/><Relationship Id="rId3" Type="http://schemas.openxmlformats.org/officeDocument/2006/relationships/hyperlink" Target="mailto:mdavis02@coral-energy.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2001-06-15T18:47:00Z</dcterms:created>
  <dc:creator>mdavis02</dc:creator>
  <dc:description/>
  <dc:language>en-CA</dc:language>
  <cp:lastModifiedBy>mdavis02</cp:lastModifiedBy>
  <cp:lastPrinted>2001-06-19T12:42:00Z</cp:lastPrinted>
  <dcterms:modified xsi:type="dcterms:W3CDTF">2001-06-19T18:08:00Z</dcterms:modified>
  <cp:revision>6</cp:revision>
  <dc:subject/>
  <dc:title>March 26, 2001</dc:title>
</cp:coreProperties>
</file>