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Transwestern Credit 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 (TW) is currently evaluating a pipeline development commonly referred to as the Sun Devil Project.  It is expected that this project will be built, owned, and operated by Transwestern under its current FERC-regulated tariff structure.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late January 2002, meetings were held with several rating agencies in order to begin developing an independent credit rating for TW.  As a result of these meetings, TW has been placed on “Developing Outlook” by these agencies.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During the week of February 25, 2002, additional financial information requested by the agencies will be sent for their review.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early March 2002, senior pipeline transportation management officials will again meet with the rating agencies to answer any questions they may have.  The anticipated final result should be a positive credit rating for Transwestern.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addition, late in 2001 an effort was made to separate the financial operations of TW from the bankrupt parent Enron Corp.  Twenty percent of TW’s stock shares were put into a voting trust.  A condition of the trust is TW cannot go into voluntary bankruptcy.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Furthermore, as a condition of a recent credit facility agreement established for TW, any excess cash flow generated by TW cannot flow up to Enron Corp. as long as Enron remains in bankruptcy proceedings.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2002-02-11T19:11:00Z</dcterms:created>
  <dc:creator>khyatt</dc:creator>
  <dc:description/>
  <dc:language>en-CA</dc:language>
  <cp:lastModifiedBy>khyatt</cp:lastModifiedBy>
  <dcterms:modified xsi:type="dcterms:W3CDTF">2002-02-11T20:11:00Z</dcterms:modified>
  <cp:revision>1</cp:revision>
  <dc:subject/>
  <dc:title>Transwestern Credit Rating</dc:title>
</cp:coreProperties>
</file>