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TW Compressor Monetization</w:t>
      </w:r>
    </w:p>
    <w:p>
      <w:pPr>
        <w:pStyle w:val="Normal"/>
        <w:jc w:val="center"/>
        <w:rPr>
          <w:b/>
        </w:rPr>
      </w:pPr>
      <w:r>
        <w:rPr>
          <w:b/>
        </w:rPr>
        <w:t>Issues 12/14/99</w:t>
      </w:r>
    </w:p>
    <w:p>
      <w:pPr>
        <w:pStyle w:val="Normal"/>
        <w:jc w:val="center"/>
        <w:rPr>
          <w:b/>
        </w:rPr>
      </w:pPr>
      <w:r>
        <w:rPr>
          <w:b/>
        </w:rPr>
      </w:r>
    </w:p>
    <w:p>
      <w:pPr>
        <w:pStyle w:val="Heading1"/>
        <w:ind w:hanging="0" w:start="0"/>
        <w:rPr/>
      </w:pPr>
      <w:r>
        <w:rPr/>
        <w:t>Purchase and Sale Agreement</w:t>
      </w:r>
    </w:p>
    <w:p>
      <w:pPr>
        <w:pStyle w:val="Normal"/>
        <w:numPr>
          <w:ilvl w:val="0"/>
          <w:numId w:val="3"/>
        </w:numPr>
        <w:rPr/>
      </w:pPr>
      <w:r>
        <w:rPr/>
        <w:t>Why is it important to have references to the Compression Services Agreement?  Ideally there should not be a connection between the sale agreement and the service agreement.  The agreements should stand on their own.</w:t>
      </w:r>
    </w:p>
    <w:p>
      <w:pPr>
        <w:pStyle w:val="Normal"/>
        <w:numPr>
          <w:ilvl w:val="0"/>
          <w:numId w:val="3"/>
        </w:numPr>
        <w:rPr/>
      </w:pPr>
      <w:r>
        <w:rPr/>
        <w:t>Just a reminder (would not preclude sale treatment), this agreement contains items that will be considered as a deduction to the gain (i.e. section 2.3, 6.8, 9.3 (b), etc.)</w:t>
      </w:r>
    </w:p>
    <w:p>
      <w:pPr>
        <w:pStyle w:val="Normal"/>
        <w:rPr/>
      </w:pPr>
      <w:r>
        <w:rPr/>
      </w:r>
    </w:p>
    <w:p>
      <w:pPr>
        <w:pStyle w:val="Normal"/>
        <w:rPr/>
      </w:pPr>
      <w:r>
        <w:rPr/>
      </w:r>
    </w:p>
    <w:p>
      <w:pPr>
        <w:pStyle w:val="Heading1"/>
        <w:ind w:hanging="0" w:start="0"/>
        <w:rPr/>
      </w:pPr>
      <w:r>
        <w:rPr/>
        <w:t>Compression Services Agreement</w:t>
      </w:r>
    </w:p>
    <w:p>
      <w:pPr>
        <w:pStyle w:val="Normal"/>
        <w:numPr>
          <w:ilvl w:val="0"/>
          <w:numId w:val="2"/>
        </w:numPr>
        <w:rPr/>
      </w:pPr>
      <w:r>
        <w:rPr/>
        <w:t>Why is it important to have references to Purchase and Sale Agreement? Ideally there should not be a connection between the sale agreement and the service agreement.  The agreements should stand on their own.</w:t>
      </w:r>
    </w:p>
    <w:p>
      <w:pPr>
        <w:pStyle w:val="Normal"/>
        <w:numPr>
          <w:ilvl w:val="0"/>
          <w:numId w:val="2"/>
        </w:numPr>
        <w:rPr/>
      </w:pPr>
      <w:r>
        <w:rPr/>
        <w:t>Section 8.e. “Exclusivity” – we think this clause should be removed.  This clause basically gives TW veto power and therefore control, and could conceivably prevent the contractor from doing things in its best interest.  For a true sale, TW cannot retain control of the assets.</w:t>
      </w:r>
    </w:p>
    <w:p>
      <w:pPr>
        <w:pStyle w:val="Normal"/>
        <w:numPr>
          <w:ilvl w:val="0"/>
          <w:numId w:val="2"/>
        </w:numPr>
        <w:rPr/>
      </w:pPr>
      <w:r>
        <w:rPr/>
        <w:t xml:space="preserve">Section 12.2 “Exchange” – physical assets must be replaced.  There should be an economic reason for the contractor to exchange the asset, otherwise this starts looking like a financing transaction.  This is an important concept in these transactions.  For example, if TW does not utilize full capacity of the compressors and the contractor would be economically compelled to replace the compressors with different ones that provide less horsepower but do not compromise the integrity of the pipeline.  It would be best at the time this sale is to occur, if the contractor actually had identified the compressors it intended to swap out. </w:t>
      </w:r>
    </w:p>
    <w:p>
      <w:pPr>
        <w:pStyle w:val="Normal"/>
        <w:numPr>
          <w:ilvl w:val="0"/>
          <w:numId w:val="2"/>
        </w:numPr>
        <w:rPr/>
      </w:pPr>
      <w:r>
        <w:rPr/>
        <w:t xml:space="preserve">Section 13 “Regulatory Compliance” – remove references to the fact that TW will have </w:t>
      </w:r>
      <w:r>
        <w:rPr>
          <w:b/>
          <w:u w:val="single"/>
        </w:rPr>
        <w:t>sole</w:t>
      </w:r>
      <w:r>
        <w:rPr/>
        <w:t xml:space="preserve"> discretion with respect to granting approvals for exchange of assets and performing maintenance services.  As it is worded currently, it sounds TW will be able to exercise control over the contractors actions relative to the assets.  Could this section be reworded to state that per the FERC code, exchanging assets must be approved by the FERC prior to exchanging assets?  </w:t>
      </w:r>
    </w:p>
    <w:p>
      <w:pPr>
        <w:pStyle w:val="Normal"/>
        <w:numPr>
          <w:ilvl w:val="0"/>
          <w:numId w:val="2"/>
        </w:numPr>
        <w:rPr/>
      </w:pPr>
      <w:r>
        <w:rPr/>
        <w:t>Can the contractor legally own assets and not be regulated by the FERC, or do they become subject to FERC regulation with this transaction?  It would seem that a company not currently subject to FERC regulation would not need to file forms with the FERC.  Is regulation based on who is involved in the interstate transmission of gas?</w:t>
      </w:r>
    </w:p>
    <w:p>
      <w:pPr>
        <w:pStyle w:val="Normal"/>
        <w:numPr>
          <w:ilvl w:val="0"/>
          <w:numId w:val="2"/>
        </w:numPr>
        <w:rPr/>
      </w:pPr>
      <w:r>
        <w:rPr/>
        <w:t>Section 16 “Licenses” and Section 13 “Regulatory Compliance” – was TW engaged to perform these services (FERC approvals) by contractor?  Should they be?</w:t>
      </w:r>
    </w:p>
    <w:p>
      <w:pPr>
        <w:pStyle w:val="Normal"/>
        <w:numPr>
          <w:ilvl w:val="0"/>
          <w:numId w:val="2"/>
        </w:numPr>
        <w:rPr/>
      </w:pPr>
      <w:r>
        <w:rPr/>
        <w:t>We still will need a calculation of present value of fixed guaranteed payments.  This should not be greater than 90% of the fair value of the asset sold.</w:t>
      </w:r>
    </w:p>
    <w:p>
      <w:pPr>
        <w:pStyle w:val="Normal"/>
        <w:numPr>
          <w:ilvl w:val="0"/>
          <w:numId w:val="2"/>
        </w:numPr>
        <w:rPr/>
      </w:pPr>
      <w:r>
        <w:rPr/>
        <w:t>Of the compressors being sold, what is the percent of output utilized by TW?</w:t>
      </w:r>
    </w:p>
    <w:p>
      <w:pPr>
        <w:pStyle w:val="Normal"/>
        <w:numPr>
          <w:ilvl w:val="0"/>
          <w:numId w:val="2"/>
        </w:numPr>
        <w:rPr/>
      </w:pPr>
      <w:r>
        <w:rPr/>
        <w:t>We would want to see that the price for the compressor services are comparable to market prices (i.e. prices the contractor gives to others for compressor services).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 w:hAnsi="Book Antiqua" w:eastAsia="Times New Roman" w:cs="Book Antiqua"/>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1999-12-14T14:01:00Z</dcterms:created>
  <dc:creator>Heather L. Mueck</dc:creator>
  <dc:description/>
  <dc:language>en-CA</dc:language>
  <cp:lastModifiedBy>Heather L. Mueck</cp:lastModifiedBy>
  <cp:lastPrinted>1999-12-16T10:01:00Z</cp:lastPrinted>
  <dcterms:modified xsi:type="dcterms:W3CDTF">1999-12-17T12:49:00Z</dcterms:modified>
  <cp:revision>11</cp:revision>
  <dc:subject/>
  <dc:title>TW Compressor Monetization</dc:title>
</cp:coreProperties>
</file>