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TW CMS Project Business Meeting Agenda</w:t>
      </w:r>
    </w:p>
    <w:p>
      <w:pPr>
        <w:pStyle w:val="Heading"/>
        <w:rPr>
          <w:b w:val="false"/>
          <w:bCs w:val="false"/>
          <w:u w:val="none"/>
        </w:rPr>
      </w:pPr>
      <w:r>
        <w:rPr>
          <w:b w:val="false"/>
          <w:bCs w:val="false"/>
          <w:u w:val="none"/>
        </w:rPr>
        <w:t>(11/8/2001 2:00-3:30 PM)</w:t>
      </w:r>
    </w:p>
    <w:p>
      <w:pPr>
        <w:pStyle w:val="Normal"/>
        <w:ind w:start="360" w:end="0"/>
        <w:rPr>
          <w:b/>
          <w:bCs/>
          <w:sz w:val="28"/>
          <w:u w:val="none"/>
        </w:rPr>
      </w:pPr>
      <w:r>
        <w:rPr>
          <w:b/>
          <w:bCs/>
          <w:sz w:val="28"/>
          <w:u w:val="none"/>
        </w:rPr>
      </w:r>
    </w:p>
    <w:p>
      <w:pPr>
        <w:pStyle w:val="BodyTextIndent2"/>
        <w:rPr/>
      </w:pPr>
      <w:r>
        <w:rPr/>
        <w:t>Attending – Jeanne Licciardo, Andy Brady, Linda Trevino, Bill Rapp (Legal), Lindy Donoho (Marketing), Teb Lokey (Rates &amp; Regulatory), Jeanette Doll (Rates &amp; Regulatory)</w:t>
      </w:r>
    </w:p>
    <w:p>
      <w:pPr>
        <w:pStyle w:val="Normal"/>
        <w:ind w:start="360" w:end="0"/>
        <w:rPr>
          <w:sz w:val="28"/>
        </w:rPr>
      </w:pPr>
      <w:r>
        <w:rPr>
          <w:sz w:val="28"/>
        </w:rPr>
      </w:r>
    </w:p>
    <w:p>
      <w:pPr>
        <w:pStyle w:val="BodyTextIndent"/>
        <w:rPr/>
      </w:pPr>
      <w:r>
        <w:rPr/>
        <w:t>Goal:  Discuss and Come to Decision on Certain Business Practice Suggestions for the Administration and Maintenance of TransWestern Contracts.  The items under discussion affect how the programming on the system occurs as well highlighting differences that TW has from the other Enron pipelines.  We may have an opportunity to bring certain practices in line with FGT and NNG practices, thus giving the customer a familiar feel across the Enron pipes.</w:t>
      </w:r>
    </w:p>
    <w:p>
      <w:pPr>
        <w:pStyle w:val="Normal"/>
        <w:ind w:hanging="720" w:start="1080" w:end="0"/>
        <w:rPr>
          <w:sz w:val="28"/>
        </w:rPr>
      </w:pPr>
      <w:r>
        <w:rPr>
          <w:sz w:val="28"/>
        </w:rPr>
      </w:r>
    </w:p>
    <w:p>
      <w:pPr>
        <w:pStyle w:val="Normal"/>
        <w:numPr>
          <w:ilvl w:val="0"/>
          <w:numId w:val="2"/>
        </w:numPr>
        <w:rPr/>
      </w:pPr>
      <w:r>
        <w:rPr/>
        <w:t>Administration of Alternate Points for Shippers</w:t>
      </w:r>
    </w:p>
    <w:p>
      <w:pPr>
        <w:pStyle w:val="BodyTextIndent3"/>
        <w:rPr/>
      </w:pPr>
      <w:r>
        <w:rPr/>
        <w:t>Because of the Global Settlement, this is not possible.  Alternate point requests will still need to be added to the contract if they are not covered under a template.</w:t>
      </w:r>
    </w:p>
    <w:p>
      <w:pPr>
        <w:pStyle w:val="Normal"/>
        <w:rPr/>
      </w:pPr>
      <w:r>
        <w:rPr/>
      </w:r>
    </w:p>
    <w:p>
      <w:pPr>
        <w:pStyle w:val="Normal"/>
        <w:numPr>
          <w:ilvl w:val="0"/>
          <w:numId w:val="2"/>
        </w:numPr>
        <w:rPr/>
      </w:pPr>
      <w:r>
        <w:rPr/>
        <w:t>Single Direction of Flow</w:t>
      </w:r>
    </w:p>
    <w:p>
      <w:pPr>
        <w:pStyle w:val="BodyTextIndent3"/>
        <w:rPr/>
      </w:pPr>
      <w:r>
        <w:rPr/>
        <w:t>Parties agreed limit contracts to one flow direction per contract.  The only exception to this rule is the USGT contract, which flows north and south on the eastern side of the TW system.  IT will find a way to not split the USGT contract without excessive system impact.</w:t>
      </w:r>
    </w:p>
    <w:p>
      <w:pPr>
        <w:pStyle w:val="Normal"/>
        <w:rPr/>
      </w:pPr>
      <w:r>
        <w:rPr/>
      </w:r>
    </w:p>
    <w:p>
      <w:pPr>
        <w:pStyle w:val="Normal"/>
        <w:numPr>
          <w:ilvl w:val="0"/>
          <w:numId w:val="2"/>
        </w:numPr>
        <w:rPr/>
      </w:pPr>
      <w:r>
        <w:rPr/>
        <w:t>Inside/Outside the Path</w:t>
      </w:r>
    </w:p>
    <w:p>
      <w:pPr>
        <w:pStyle w:val="BodyTextIndent3"/>
        <w:rPr/>
      </w:pPr>
      <w:r>
        <w:rPr/>
        <w:t>Currently the TW inside/outside the path routine does not correctly validate that flows are within the path of the flow direction.  However, because of the template structure and rules in place surrounding them, this situation occurs very little.  The customers felt that the exposure to problems resulting from this were minimal and that correcting it should be re-evaluated and addressed later.  IT sees some synergies between the FGT process that walks the pipeline for rate purposes and this function.  We will reevaluate this process next year for further possible changes.  We will use the existing processes for the TW implementation of the project.</w:t>
      </w:r>
    </w:p>
    <w:p>
      <w:pPr>
        <w:pStyle w:val="Normal"/>
        <w:rPr/>
      </w:pPr>
      <w:r>
        <w:rPr/>
      </w:r>
    </w:p>
    <w:p>
      <w:pPr>
        <w:pStyle w:val="Normal"/>
        <w:numPr>
          <w:ilvl w:val="0"/>
          <w:numId w:val="2"/>
        </w:numPr>
        <w:rPr/>
      </w:pPr>
      <w:r>
        <w:rPr/>
        <w:t>West of Thoreau -&gt; East of California and California Areas</w:t>
      </w:r>
    </w:p>
    <w:p>
      <w:pPr>
        <w:pStyle w:val="BodyTextIndent3"/>
        <w:rPr/>
      </w:pPr>
      <w:r>
        <w:rPr/>
        <w:t>Business parties agreed that we should split the West of Thoreau area up into two areas.  Currently the tariff publishes rates on West of Thoreau (East of California) and West of Thoreau (California).  Under the most likely scenario, the POI’s would have the area/zone information changed to a new area for processing.  This has potential affect to downstream systems which must be analyzed further.  We are continuing the investigation on this.</w:t>
      </w:r>
    </w:p>
    <w:p>
      <w:pPr>
        <w:pStyle w:val="Normal"/>
        <w:ind w:start="720" w:end="0"/>
        <w:rPr/>
      </w:pPr>
      <w:r>
        <w:rPr/>
      </w:r>
    </w:p>
    <w:p>
      <w:pPr>
        <w:pStyle w:val="Normal"/>
        <w:numPr>
          <w:ilvl w:val="0"/>
          <w:numId w:val="2"/>
        </w:numPr>
        <w:rPr/>
      </w:pPr>
      <w:r>
        <w:rPr/>
        <w:t>LFT Days</w:t>
      </w:r>
    </w:p>
    <w:p>
      <w:pPr>
        <w:pStyle w:val="BodyTextIndent3"/>
        <w:rPr/>
      </w:pPr>
      <w:r>
        <w:rPr/>
        <w:t>NNG currently allows the number of Limited Firm Days from month to month to change on a contract.  TW does not currently provide for this.  Business parties agreed that allowing this would be a valuable potential service addition for customers.</w:t>
      </w:r>
    </w:p>
    <w:p>
      <w:pPr>
        <w:pStyle w:val="Normal"/>
        <w:rPr/>
      </w:pPr>
      <w:r>
        <w:rPr/>
      </w:r>
    </w:p>
    <w:p>
      <w:pPr>
        <w:pStyle w:val="Normal"/>
        <w:numPr>
          <w:ilvl w:val="0"/>
          <w:numId w:val="2"/>
        </w:numPr>
        <w:rPr>
          <w:sz w:val="28"/>
        </w:rPr>
      </w:pPr>
      <w:r>
        <w:rPr/>
        <w:t>FTS-3/EFBH Rate Schedule</w:t>
      </w:r>
    </w:p>
    <w:p>
      <w:pPr>
        <w:pStyle w:val="BodyTextIndent3"/>
        <w:rPr/>
      </w:pPr>
      <w:r>
        <w:rPr/>
        <w:t>The circumstances under which FTS-3/EFBH becomes valuable for the customer is complex and rarely occurring under current business conditions.  Because of this, the team agreed to keep coding to handle this at a minimum until business conditions warrant more specific code in this area.  In this case this means that we will maintain the existing interpretation of how the services should work to keep changes to all systems at a minimum.</w:t>
      </w:r>
    </w:p>
    <w:p>
      <w:pPr>
        <w:pStyle w:val="BodyTextIndent3"/>
        <w:rPr/>
      </w:pPr>
      <w:r>
        <w:rPr/>
      </w:r>
    </w:p>
    <w:p>
      <w:pPr>
        <w:pStyle w:val="BodyTextIndent3"/>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color w:val="3366FF"/>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080" w:end="0"/>
    </w:pPr>
    <w:rPr>
      <w:sz w:val="28"/>
    </w:rPr>
  </w:style>
  <w:style w:type="paragraph" w:styleId="BodyTextIndent2">
    <w:name w:val="Body Text Indent 2"/>
    <w:basedOn w:val="Normal"/>
    <w:qFormat/>
    <w:pPr>
      <w:ind w:hanging="0" w:start="360" w:end="0"/>
    </w:pPr>
    <w:rPr>
      <w:color w:val="3366FF"/>
      <w:sz w:val="28"/>
    </w:rPr>
  </w:style>
  <w:style w:type="paragraph" w:styleId="BodyTextIndent3">
    <w:name w:val="Body Text Indent 3"/>
    <w:basedOn w:val="Normal"/>
    <w:qFormat/>
    <w:pPr>
      <w:ind w:hanging="0" w:start="1080" w:end="0"/>
    </w:pPr>
    <w:rPr>
      <w:color w:val="3366F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2001-11-13T15:26:00Z</dcterms:created>
  <dc:creator>wbrady</dc:creator>
  <dc:description/>
  <dc:language>en-CA</dc:language>
  <cp:lastModifiedBy>wbrady</cp:lastModifiedBy>
  <dcterms:modified xsi:type="dcterms:W3CDTF">2001-11-13T15:56:00Z</dcterms:modified>
  <cp:revision>10</cp:revision>
  <dc:subject/>
  <dc:title>TW CMS Project Business Meeting Agenda</dc:title>
</cp:coreProperties>
</file>