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TW 2002 FUEL SALES</w:t>
      </w:r>
    </w:p>
    <w:p>
      <w:pPr>
        <w:pStyle w:val="Normal"/>
        <w:rPr/>
      </w:pPr>
      <w:r>
        <w:rPr/>
      </w:r>
    </w:p>
    <w:p>
      <w:pPr>
        <w:pStyle w:val="Normal"/>
        <w:rPr>
          <w:b/>
          <w:u w:val="single"/>
        </w:rPr>
      </w:pPr>
      <w:r>
        <w:rPr>
          <w:b/>
          <w:u w:val="single"/>
        </w:rPr>
        <w:t>Objective:</w:t>
      </w:r>
    </w:p>
    <w:p>
      <w:pPr>
        <w:pStyle w:val="Normal"/>
        <w:numPr>
          <w:ilvl w:val="0"/>
          <w:numId w:val="8"/>
        </w:numPr>
        <w:rPr/>
      </w:pPr>
      <w:r>
        <w:rPr/>
        <w:t>Capture opportunity to trade around 2002 excess fuel.</w:t>
      </w:r>
    </w:p>
    <w:p>
      <w:pPr>
        <w:pStyle w:val="Normal"/>
        <w:numPr>
          <w:ilvl w:val="0"/>
          <w:numId w:val="8"/>
        </w:numPr>
        <w:rPr/>
      </w:pPr>
      <w:r>
        <w:rPr/>
        <w:t>Set up opportunity to capture incremental earnings in 2001.</w:t>
      </w:r>
    </w:p>
    <w:p>
      <w:pPr>
        <w:pStyle w:val="Normal"/>
        <w:rPr/>
      </w:pPr>
      <w:r>
        <w:rPr/>
      </w:r>
    </w:p>
    <w:p>
      <w:pPr>
        <w:pStyle w:val="Normal"/>
        <w:rPr>
          <w:b/>
          <w:u w:val="single"/>
        </w:rPr>
      </w:pPr>
      <w:r>
        <w:rPr>
          <w:b/>
          <w:u w:val="single"/>
        </w:rPr>
        <w:t>Market View:</w:t>
      </w:r>
    </w:p>
    <w:p>
      <w:pPr>
        <w:pStyle w:val="Normal"/>
        <w:numPr>
          <w:ilvl w:val="0"/>
          <w:numId w:val="6"/>
        </w:numPr>
        <w:rPr/>
      </w:pPr>
      <w:r>
        <w:rPr/>
        <w:t>Market High – expecting a market high within the next 1 – 4 weeks which should equate to a 2002 strip price of _____ to ____.</w:t>
      </w:r>
    </w:p>
    <w:p>
      <w:pPr>
        <w:pStyle w:val="Normal"/>
        <w:numPr>
          <w:ilvl w:val="0"/>
          <w:numId w:val="6"/>
        </w:numPr>
        <w:rPr/>
      </w:pPr>
      <w:r>
        <w:rPr/>
        <w:t>Market Low – expecting a market low by mid-to-late January which should equate to a 2002 strip price of  ____ to _____.</w:t>
      </w:r>
    </w:p>
    <w:p>
      <w:pPr>
        <w:pStyle w:val="Normal"/>
        <w:numPr>
          <w:ilvl w:val="0"/>
          <w:numId w:val="6"/>
        </w:numPr>
        <w:rPr/>
      </w:pPr>
      <w:r>
        <w:rPr/>
        <w:t>Expected spread of ____ to _____ multiplied times the 7.3 Bcf of 2002 excess fuel equals a potential upside of _____ to _____.</w:t>
      </w:r>
    </w:p>
    <w:p>
      <w:pPr>
        <w:pStyle w:val="Normal"/>
        <w:rPr/>
      </w:pPr>
      <w:r>
        <w:rPr/>
      </w:r>
    </w:p>
    <w:p>
      <w:pPr>
        <w:pStyle w:val="Normal"/>
        <w:rPr>
          <w:b/>
          <w:u w:val="single"/>
        </w:rPr>
      </w:pPr>
      <w:r>
        <w:rPr>
          <w:b/>
          <w:u w:val="single"/>
        </w:rPr>
        <w:t>Deal Structure 1:</w:t>
      </w:r>
    </w:p>
    <w:p>
      <w:pPr>
        <w:pStyle w:val="Normal"/>
        <w:rPr/>
      </w:pPr>
      <w:r>
        <w:rPr/>
        <w:t xml:space="preserve">Beginning Transaction (Nov 10 – Dec 15) </w:t>
      </w:r>
    </w:p>
    <w:p>
      <w:pPr>
        <w:pStyle w:val="Normal"/>
        <w:ind w:start="720" w:end="0"/>
        <w:rPr/>
      </w:pPr>
      <w:r>
        <w:rPr/>
        <w:t>TW Sales Agreement</w:t>
      </w:r>
    </w:p>
    <w:p>
      <w:pPr>
        <w:pStyle w:val="Normal"/>
        <w:numPr>
          <w:ilvl w:val="0"/>
          <w:numId w:val="7"/>
        </w:numPr>
        <w:tabs>
          <w:tab w:val="clear" w:pos="720"/>
          <w:tab w:val="left" w:pos="1800" w:leader="none"/>
        </w:tabs>
        <w:ind w:hanging="360" w:start="1800" w:end="0"/>
        <w:rPr/>
      </w:pPr>
      <w:r>
        <w:rPr/>
        <w:t>Fixed price sales for 2002 excess fuel volumes.</w:t>
      </w:r>
    </w:p>
    <w:p>
      <w:pPr>
        <w:pStyle w:val="Normal"/>
        <w:numPr>
          <w:ilvl w:val="0"/>
          <w:numId w:val="7"/>
        </w:numPr>
        <w:tabs>
          <w:tab w:val="clear" w:pos="720"/>
          <w:tab w:val="left" w:pos="1800" w:leader="none"/>
        </w:tabs>
        <w:ind w:hanging="360" w:start="1800" w:end="0"/>
        <w:rPr/>
      </w:pPr>
      <w:r>
        <w:rPr/>
        <w:t>Price to equal then-current 2002 NYMEX strip adjusted for basis.</w:t>
      </w:r>
    </w:p>
    <w:p>
      <w:pPr>
        <w:pStyle w:val="Normal"/>
        <w:numPr>
          <w:ilvl w:val="0"/>
          <w:numId w:val="7"/>
        </w:numPr>
        <w:tabs>
          <w:tab w:val="clear" w:pos="720"/>
          <w:tab w:val="left" w:pos="1800" w:leader="none"/>
        </w:tabs>
        <w:ind w:hanging="360" w:start="1800" w:end="0"/>
        <w:rPr/>
      </w:pPr>
      <w:r>
        <w:rPr/>
        <w:t>Agreement contains an option to terminate upon mutual agreement of both parties.  The “consideration” to be paid pursuant to the termination to be mutually agreed at the time of the termination.</w:t>
      </w:r>
    </w:p>
    <w:p>
      <w:pPr>
        <w:pStyle w:val="Normal"/>
        <w:rPr/>
      </w:pPr>
      <w:r>
        <w:rPr/>
      </w:r>
    </w:p>
    <w:p>
      <w:pPr>
        <w:pStyle w:val="Normal"/>
        <w:rPr/>
      </w:pPr>
      <w:r>
        <w:rPr/>
        <w:t>Subsequent Transaction (Jan 15 – Feb 15)</w:t>
      </w:r>
    </w:p>
    <w:p>
      <w:pPr>
        <w:pStyle w:val="Normal"/>
        <w:ind w:start="720" w:end="0"/>
        <w:rPr/>
      </w:pPr>
      <w:r>
        <w:rPr/>
        <w:t>TW Sales Agreement</w:t>
      </w:r>
    </w:p>
    <w:p>
      <w:pPr>
        <w:pStyle w:val="Normal"/>
        <w:numPr>
          <w:ilvl w:val="0"/>
          <w:numId w:val="4"/>
        </w:numPr>
        <w:tabs>
          <w:tab w:val="clear" w:pos="720"/>
          <w:tab w:val="left" w:pos="1800" w:leader="none"/>
        </w:tabs>
        <w:ind w:hanging="360" w:start="1800" w:end="0"/>
        <w:rPr/>
      </w:pPr>
      <w:r>
        <w:rPr/>
        <w:t>Terminate sales agreement.</w:t>
      </w:r>
    </w:p>
    <w:p>
      <w:pPr>
        <w:pStyle w:val="Normal"/>
        <w:numPr>
          <w:ilvl w:val="0"/>
          <w:numId w:val="4"/>
        </w:numPr>
        <w:tabs>
          <w:tab w:val="clear" w:pos="720"/>
          <w:tab w:val="left" w:pos="1800" w:leader="none"/>
        </w:tabs>
        <w:ind w:hanging="360" w:start="1800" w:end="0"/>
        <w:rPr/>
      </w:pPr>
      <w:r>
        <w:rPr/>
        <w:t>Consideration paid to equal approximately $10,000 (to be negotiated at the time of termination).</w:t>
      </w:r>
    </w:p>
    <w:p>
      <w:pPr>
        <w:pStyle w:val="Normal"/>
        <w:rPr/>
      </w:pPr>
      <w:r>
        <w:rPr/>
      </w:r>
    </w:p>
    <w:p>
      <w:pPr>
        <w:pStyle w:val="Normal"/>
        <w:ind w:start="720" w:end="0"/>
        <w:rPr/>
      </w:pPr>
      <w:r>
        <w:rPr/>
        <w:t>Northern Transportation Agreement</w:t>
      </w:r>
    </w:p>
    <w:p>
      <w:pPr>
        <w:pStyle w:val="Normal"/>
        <w:numPr>
          <w:ilvl w:val="0"/>
          <w:numId w:val="2"/>
        </w:numPr>
        <w:tabs>
          <w:tab w:val="clear" w:pos="720"/>
          <w:tab w:val="left" w:pos="1800" w:leader="none"/>
        </w:tabs>
        <w:ind w:hanging="360" w:start="1800" w:end="0"/>
        <w:rPr/>
      </w:pPr>
      <w:r>
        <w:rPr/>
        <w:t>Enter into TFX for Field Area transportation.</w:t>
      </w:r>
    </w:p>
    <w:p>
      <w:pPr>
        <w:pStyle w:val="Normal"/>
        <w:rPr/>
      </w:pPr>
      <w:r>
        <w:rPr/>
      </w:r>
    </w:p>
    <w:p>
      <w:pPr>
        <w:pStyle w:val="Normal"/>
        <w:rPr/>
      </w:pPr>
      <w:r>
        <w:rPr/>
        <w:t>Implications of Deal</w:t>
      </w:r>
    </w:p>
    <w:p>
      <w:pPr>
        <w:pStyle w:val="Normal"/>
        <w:numPr>
          <w:ilvl w:val="0"/>
          <w:numId w:val="5"/>
        </w:numPr>
        <w:tabs>
          <w:tab w:val="clear" w:pos="720"/>
          <w:tab w:val="left" w:pos="1080" w:leader="none"/>
        </w:tabs>
        <w:ind w:hanging="360" w:start="1080" w:end="0"/>
        <w:rPr/>
      </w:pPr>
      <w:r>
        <w:rPr/>
        <w:t>Must be satisfied with 2002 TW sales price.</w:t>
      </w:r>
    </w:p>
    <w:p>
      <w:pPr>
        <w:pStyle w:val="Normal"/>
        <w:numPr>
          <w:ilvl w:val="0"/>
          <w:numId w:val="5"/>
        </w:numPr>
        <w:tabs>
          <w:tab w:val="clear" w:pos="720"/>
          <w:tab w:val="left" w:pos="1080" w:leader="none"/>
        </w:tabs>
        <w:ind w:hanging="360" w:start="1080" w:end="0"/>
        <w:rPr/>
      </w:pPr>
      <w:r>
        <w:rPr/>
        <w:t>If market does not retrace, TW is held to the fixed sales price.</w:t>
      </w:r>
    </w:p>
    <w:p>
      <w:pPr>
        <w:pStyle w:val="Normal"/>
        <w:numPr>
          <w:ilvl w:val="0"/>
          <w:numId w:val="5"/>
        </w:numPr>
        <w:tabs>
          <w:tab w:val="clear" w:pos="720"/>
          <w:tab w:val="left" w:pos="1080" w:leader="none"/>
        </w:tabs>
        <w:ind w:hanging="360" w:start="1080" w:end="0"/>
        <w:rPr/>
      </w:pPr>
      <w:r>
        <w:rPr/>
        <w:t>If market does retrace, TW will be re-opening its 2002 sales position.</w:t>
      </w:r>
    </w:p>
    <w:p>
      <w:pPr>
        <w:pStyle w:val="Normal"/>
        <w:ind w:start="720" w:end="0"/>
        <w:rPr/>
      </w:pPr>
      <w:r>
        <w:rPr/>
      </w:r>
    </w:p>
    <w:p>
      <w:pPr>
        <w:pStyle w:val="Heading1"/>
        <w:ind w:hanging="0" w:start="0"/>
        <w:rPr/>
      </w:pPr>
      <w:r>
        <w:rPr/>
        <w:t>Accounting Considerations for Deal Structure 1</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 xml:space="preserve">One approach to accounting for the forward sale would be to consider it a derivative and declare it to be a hedge of 2002 over-retention. It would be marked to market monthly with the income effect deferred in Other Comprehensive Income (OCI). When it is terminated early, the book value of the derivative (less the $10K proceeds) would be written off against the deferred gain in OCI, with the $10K remaining deferred for amortization in 2002.  This scenario would highlight the inadequacy of the $10K as contract settlement consideration. The other approach would be to consider the sale to qualify for the normal purchase and sale exclusion, under which it would not be considered a derivative and would not be subject to MTM accounting.  This approach bears some risk if it is renegotiated/cancelled in 2001 because it may taint future use of this exclusion for other transactions.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remaining value at sales contract termination would be provided to NNG through a TFX contract in 2001 and the value would flow to NNG income in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 would be difficult to explain why TW received so little value for the in-the-money sales contract cancellation.  It would also be difficult from a fiduciary responsibility standpoint to explain to TW’s 144a noteholders that most of the value received for terminating an in-the-money sales contract was handed to NNG for no consideration. This structure does not appear to be viable.</w:t>
      </w:r>
    </w:p>
    <w:p>
      <w:pPr>
        <w:pStyle w:val="Normal"/>
        <w:rPr>
          <w:rFonts w:ascii="Arial" w:hAnsi="Arial" w:cs="Arial"/>
        </w:rPr>
      </w:pPr>
      <w:r>
        <w:rPr>
          <w:rFonts w:cs="Arial" w:ascii="Arial" w:hAnsi="Arial"/>
        </w:rPr>
      </w:r>
    </w:p>
    <w:p>
      <w:pPr>
        <w:pStyle w:val="Normal"/>
        <w:rPr/>
      </w:pPr>
      <w:r>
        <w:rPr/>
        <w:t xml:space="preserve">   </w:t>
      </w:r>
      <w:r>
        <w:rPr>
          <w:b/>
          <w:u w:val="single"/>
        </w:rPr>
        <w:t>Deal Structure 2:</w:t>
      </w:r>
    </w:p>
    <w:p>
      <w:pPr>
        <w:pStyle w:val="Normal"/>
        <w:rPr/>
      </w:pPr>
      <w:r>
        <w:rPr/>
        <w:t xml:space="preserve">Beginning Transaction (Nov 10 – Dec 15) </w:t>
      </w:r>
    </w:p>
    <w:p>
      <w:pPr>
        <w:pStyle w:val="Normal"/>
        <w:ind w:start="720" w:end="0"/>
        <w:rPr/>
      </w:pPr>
      <w:r>
        <w:rPr/>
        <w:t>TW Sales Agreement</w:t>
      </w:r>
    </w:p>
    <w:p>
      <w:pPr>
        <w:pStyle w:val="Normal"/>
        <w:numPr>
          <w:ilvl w:val="0"/>
          <w:numId w:val="7"/>
        </w:numPr>
        <w:tabs>
          <w:tab w:val="clear" w:pos="720"/>
          <w:tab w:val="left" w:pos="1800" w:leader="none"/>
        </w:tabs>
        <w:ind w:hanging="360" w:start="1800" w:end="0"/>
        <w:rPr/>
      </w:pPr>
      <w:r>
        <w:rPr/>
        <w:t>Fixed price sales for 2002 excess fuel volumes.</w:t>
      </w:r>
    </w:p>
    <w:p>
      <w:pPr>
        <w:pStyle w:val="Normal"/>
        <w:numPr>
          <w:ilvl w:val="0"/>
          <w:numId w:val="7"/>
        </w:numPr>
        <w:tabs>
          <w:tab w:val="clear" w:pos="720"/>
          <w:tab w:val="left" w:pos="1800" w:leader="none"/>
        </w:tabs>
        <w:ind w:hanging="360" w:start="1800" w:end="0"/>
        <w:rPr/>
      </w:pPr>
      <w:r>
        <w:rPr/>
        <w:t>Price to equal then-current 2002 NYMEX strip adjusted for basis minus additional amount to be negotiated with 3</w:t>
      </w:r>
      <w:r>
        <w:rPr>
          <w:vertAlign w:val="superscript"/>
        </w:rPr>
        <w:t>rd</w:t>
      </w:r>
      <w:r>
        <w:rPr/>
        <w:t xml:space="preserve"> party (additional amount equal to the premium for the 3</w:t>
      </w:r>
      <w:r>
        <w:rPr>
          <w:vertAlign w:val="superscript"/>
        </w:rPr>
        <w:t>rd</w:t>
      </w:r>
      <w:r>
        <w:rPr/>
        <w:t xml:space="preserve"> party to purchase ’02 NYMEX put)</w:t>
      </w:r>
    </w:p>
    <w:p>
      <w:pPr>
        <w:pStyle w:val="Normal"/>
        <w:rPr/>
      </w:pPr>
      <w:r>
        <w:rPr/>
      </w:r>
    </w:p>
    <w:p>
      <w:pPr>
        <w:pStyle w:val="Normal"/>
        <w:ind w:start="720" w:end="0"/>
        <w:rPr/>
      </w:pPr>
      <w:r>
        <w:rPr/>
        <w:t>NNG Transportation Precedent Agreement</w:t>
      </w:r>
    </w:p>
    <w:p>
      <w:pPr>
        <w:pStyle w:val="Normal"/>
        <w:numPr>
          <w:ilvl w:val="0"/>
          <w:numId w:val="3"/>
        </w:numPr>
        <w:tabs>
          <w:tab w:val="clear" w:pos="720"/>
          <w:tab w:val="left" w:pos="1800" w:leader="none"/>
        </w:tabs>
        <w:ind w:hanging="360" w:start="1800" w:end="0"/>
        <w:rPr/>
      </w:pPr>
      <w:r>
        <w:rPr/>
        <w:t>Agreement to enter into transportation agreement prior to February 28, 2001.</w:t>
      </w:r>
    </w:p>
    <w:p>
      <w:pPr>
        <w:pStyle w:val="Normal"/>
        <w:numPr>
          <w:ilvl w:val="0"/>
          <w:numId w:val="3"/>
        </w:numPr>
        <w:tabs>
          <w:tab w:val="clear" w:pos="720"/>
          <w:tab w:val="left" w:pos="1800" w:leader="none"/>
        </w:tabs>
        <w:ind w:hanging="360" w:start="1800" w:end="0"/>
        <w:rPr/>
      </w:pPr>
      <w:r>
        <w:rPr/>
        <w:t>Field TFX capacity (Mid-Continent Pool to Mid-Continent Pool).</w:t>
      </w:r>
    </w:p>
    <w:p>
      <w:pPr>
        <w:pStyle w:val="Normal"/>
        <w:numPr>
          <w:ilvl w:val="0"/>
          <w:numId w:val="3"/>
        </w:numPr>
        <w:tabs>
          <w:tab w:val="clear" w:pos="720"/>
          <w:tab w:val="left" w:pos="1800" w:leader="none"/>
        </w:tabs>
        <w:ind w:hanging="360" w:start="1800" w:end="0"/>
        <w:rPr/>
      </w:pPr>
      <w:r>
        <w:rPr/>
        <w:t>Price to equal the ’02 NYMEX strip differential between December and January/February (if positive).</w:t>
      </w:r>
    </w:p>
    <w:p>
      <w:pPr>
        <w:pStyle w:val="Normal"/>
        <w:rPr/>
      </w:pPr>
      <w:r>
        <w:rPr/>
      </w:r>
    </w:p>
    <w:p>
      <w:pPr>
        <w:pStyle w:val="Normal"/>
        <w:rPr/>
      </w:pPr>
      <w:r>
        <w:rPr/>
        <w:t>Subsequent Transaction (Jan 15 – Feb 15)</w:t>
      </w:r>
    </w:p>
    <w:p>
      <w:pPr>
        <w:pStyle w:val="Normal"/>
        <w:ind w:start="720" w:end="0"/>
        <w:rPr/>
      </w:pPr>
      <w:r>
        <w:rPr/>
        <w:t>Northern Transportation Agreement</w:t>
      </w:r>
    </w:p>
    <w:p>
      <w:pPr>
        <w:pStyle w:val="Normal"/>
        <w:numPr>
          <w:ilvl w:val="0"/>
          <w:numId w:val="2"/>
        </w:numPr>
        <w:tabs>
          <w:tab w:val="clear" w:pos="720"/>
          <w:tab w:val="left" w:pos="1800" w:leader="none"/>
        </w:tabs>
        <w:ind w:hanging="360" w:start="1800" w:end="0"/>
        <w:rPr/>
      </w:pPr>
      <w:r>
        <w:rPr/>
        <w:t>Execute TFX for Field Area transportation.</w:t>
      </w:r>
    </w:p>
    <w:p>
      <w:pPr>
        <w:pStyle w:val="Normal"/>
        <w:numPr>
          <w:ilvl w:val="0"/>
          <w:numId w:val="2"/>
        </w:numPr>
        <w:tabs>
          <w:tab w:val="clear" w:pos="720"/>
          <w:tab w:val="left" w:pos="1800" w:leader="none"/>
        </w:tabs>
        <w:ind w:hanging="360" w:start="1800" w:end="0"/>
        <w:rPr/>
      </w:pPr>
      <w:r>
        <w:rPr/>
        <w:t>Fixed price demand charge.</w:t>
      </w:r>
    </w:p>
    <w:p>
      <w:pPr>
        <w:pStyle w:val="Normal"/>
        <w:rPr/>
      </w:pPr>
      <w:r>
        <w:rPr/>
        <w:t>Implications of Deal</w:t>
      </w:r>
    </w:p>
    <w:p>
      <w:pPr>
        <w:pStyle w:val="Normal"/>
        <w:numPr>
          <w:ilvl w:val="0"/>
          <w:numId w:val="5"/>
        </w:numPr>
        <w:tabs>
          <w:tab w:val="clear" w:pos="720"/>
          <w:tab w:val="left" w:pos="1080" w:leader="none"/>
        </w:tabs>
        <w:ind w:hanging="360" w:start="1080" w:end="0"/>
        <w:rPr/>
      </w:pPr>
      <w:r>
        <w:rPr/>
        <w:t>Must be satisfied with 2002 TW sales price.</w:t>
      </w:r>
    </w:p>
    <w:p>
      <w:pPr>
        <w:pStyle w:val="Normal"/>
        <w:numPr>
          <w:ilvl w:val="0"/>
          <w:numId w:val="5"/>
        </w:numPr>
        <w:tabs>
          <w:tab w:val="clear" w:pos="720"/>
          <w:tab w:val="left" w:pos="1080" w:leader="none"/>
        </w:tabs>
        <w:ind w:hanging="360" w:start="1080" w:end="0"/>
        <w:rPr/>
      </w:pPr>
      <w:r>
        <w:rPr/>
        <w:t>Spending 2002 revenue to purchase 2001 NYMEX option.</w:t>
      </w:r>
    </w:p>
    <w:p>
      <w:pPr>
        <w:pStyle w:val="Normal"/>
        <w:rPr/>
      </w:pPr>
      <w:r>
        <w:rPr/>
      </w:r>
    </w:p>
    <w:p>
      <w:pPr>
        <w:pStyle w:val="Heading1"/>
        <w:ind w:hanging="0" w:start="0"/>
        <w:rPr/>
      </w:pPr>
      <w:r>
        <w:rPr/>
        <w:t>Accounting Considerations for Deal Structure 2</w:t>
      </w:r>
    </w:p>
    <w:p>
      <w:pPr>
        <w:pStyle w:val="Normal"/>
        <w:rPr/>
      </w:pPr>
      <w:r>
        <w:rPr/>
      </w:r>
    </w:p>
    <w:p>
      <w:pPr>
        <w:pStyle w:val="Normal"/>
        <w:rPr>
          <w:rFonts w:ascii="Arial" w:hAnsi="Arial" w:cs="Arial"/>
        </w:rPr>
      </w:pPr>
      <w:r>
        <w:rPr>
          <w:rFonts w:cs="Arial" w:ascii="Arial" w:hAnsi="Arial"/>
        </w:rPr>
        <w:t xml:space="preserve">The forward sales contract would be accounted for under the normal purchase/sale contract exclusion of FAS 133 so that MTM accounting would not be required.  The sale in 2002 would be credited to income at the fixed sales price while the cost of sale is recorded at monthly index. It’s unlikely that the pricing of the forward sale contract would be scrutinized closely enough by auditors to detect the netting of the put premium into the 2002 fixed price, particularly if the premium is not large. We believe the transportation precedent agreement should be considered in conjunction with the subsequent transportation agreement so that it may be deemed to be an exempt service contract that happens to have a formula pricing mechanism. The value from the anticipated decline in the forecasted 2002 strip price would be realized in 2001 via the NNG transportation contract. This structure appears to work better than Structure 1. However, since the transport contract structure doesn’t appear to provide any real physical service (movement of gas) it may not qualify as an exempt service contract.  In that case, there may be some risk that the precedent agreement could be considered a speculative derivative, in which case the value from a decline in the strip price would have to be reflected in income currently.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There is no termination of the sales contract in Structure 2 that would result in value being transferred from TW to NNG, therefore avoiding the issue of fiduciary responsibility to TW noteholders.  </w:t>
      </w:r>
    </w:p>
    <w:p>
      <w:pPr>
        <w:pStyle w:val="Normal"/>
        <w:ind w:start="720" w:end="0"/>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2000-11-08T12:16:00Z</dcterms:created>
  <dc:creator>Enron</dc:creator>
  <dc:description/>
  <dc:language>en-CA</dc:language>
  <cp:lastModifiedBy>ET&amp;S</cp:lastModifiedBy>
  <cp:lastPrinted>2000-11-08T08:46:00Z</cp:lastPrinted>
  <dcterms:modified xsi:type="dcterms:W3CDTF">2000-11-08T13:25:00Z</dcterms:modified>
  <cp:revision>6</cp:revision>
  <dc:subject/>
  <dc:title>TW 2002 FUEL SALES</dc:title>
</cp:coreProperties>
</file>