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Helv;Arial" w:hAnsi="Helv;Arial" w:cs="Helv;Arial"/>
          <w:sz w:val="28"/>
        </w:rPr>
      </w:pPr>
      <w:r>
        <w:rPr>
          <w:rFonts w:cs="Helv;Arial" w:ascii="Helv;Arial" w:hAnsi="Helv;Arial"/>
          <w:sz w:val="28"/>
        </w:rPr>
        <w:t>RED ROCK PROJECT WEEKLY REPORT (ENRON INTERNAL)</w:t>
      </w:r>
    </w:p>
    <w:p>
      <w:pPr>
        <w:pStyle w:val="Heading1"/>
        <w:ind w:hanging="0" w:start="0"/>
        <w:rPr>
          <w:sz w:val="20"/>
        </w:rPr>
      </w:pPr>
      <w:r>
        <w:rPr/>
        <w:t>WEEK ENDING – DECEMBER 19, 2001</w:t>
      </w:r>
    </w:p>
    <w:p>
      <w:pPr>
        <w:pStyle w:val="Normal"/>
        <w:jc w:val="both"/>
        <w:rPr>
          <w:sz w:val="20"/>
        </w:rPr>
      </w:pPr>
      <w:r>
        <w:rPr>
          <w:sz w:val="20"/>
        </w:rPr>
      </w:r>
    </w:p>
    <w:p>
      <w:pPr>
        <w:pStyle w:val="Normal"/>
        <w:numPr>
          <w:ilvl w:val="0"/>
          <w:numId w:val="3"/>
        </w:numPr>
        <w:jc w:val="both"/>
        <w:rPr>
          <w:b/>
          <w:bCs/>
          <w:sz w:val="20"/>
          <w:u w:val="single"/>
        </w:rPr>
      </w:pPr>
      <w:r>
        <w:rPr>
          <w:b/>
          <w:bCs/>
          <w:sz w:val="20"/>
          <w:u w:val="single"/>
        </w:rPr>
        <w:t>ACTIVITIES:</w:t>
      </w:r>
    </w:p>
    <w:p>
      <w:pPr>
        <w:pStyle w:val="Normal"/>
        <w:ind w:start="360" w:end="0"/>
        <w:jc w:val="both"/>
        <w:rPr>
          <w:b/>
          <w:bCs/>
          <w:sz w:val="20"/>
          <w:u w:val="single"/>
        </w:rPr>
      </w:pPr>
      <w:r>
        <w:rPr>
          <w:b/>
          <w:bCs/>
          <w:sz w:val="20"/>
          <w:u w:val="single"/>
        </w:rPr>
      </w:r>
    </w:p>
    <w:p>
      <w:pPr>
        <w:pStyle w:val="Normal"/>
        <w:numPr>
          <w:ilvl w:val="0"/>
          <w:numId w:val="4"/>
        </w:numPr>
        <w:jc w:val="both"/>
        <w:rPr>
          <w:sz w:val="20"/>
        </w:rPr>
      </w:pPr>
      <w:r>
        <w:rPr>
          <w:sz w:val="20"/>
        </w:rPr>
        <w:t>Air Permits for Stations 1 &amp; 2 have been approved and signed by ADEQ.  Payment was made 12/12/01 and receipt has been confirmed.  Permits are expected in hand this week.  Bill Kendrick or Larry Campbell will advise Arnold when permits are received.</w:t>
      </w:r>
    </w:p>
    <w:p>
      <w:pPr>
        <w:pStyle w:val="Normal"/>
        <w:numPr>
          <w:ilvl w:val="0"/>
          <w:numId w:val="4"/>
        </w:numPr>
        <w:jc w:val="both"/>
        <w:rPr>
          <w:b/>
          <w:bCs/>
          <w:sz w:val="20"/>
        </w:rPr>
      </w:pPr>
      <w:r>
        <w:rPr>
          <w:sz w:val="20"/>
        </w:rPr>
        <w:t>The first two NP units are still scheduled to ship this year.  Vessel is scheduled to arrive at dock on December 27</w:t>
      </w:r>
      <w:r>
        <w:rPr>
          <w:sz w:val="20"/>
          <w:vertAlign w:val="superscript"/>
        </w:rPr>
        <w:t>th</w:t>
      </w:r>
      <w:r>
        <w:rPr>
          <w:sz w:val="20"/>
        </w:rPr>
        <w:t xml:space="preserve"> and loading will start on the 28</w:t>
      </w:r>
      <w:r>
        <w:rPr>
          <w:sz w:val="20"/>
          <w:vertAlign w:val="superscript"/>
        </w:rPr>
        <w:t>th</w:t>
      </w:r>
      <w:r>
        <w:rPr>
          <w:sz w:val="20"/>
        </w:rPr>
        <w:t>.  Units are expected on site at Stations 1 &amp; 2 by the end of January.</w:t>
      </w:r>
    </w:p>
    <w:p>
      <w:pPr>
        <w:pStyle w:val="Normal"/>
        <w:numPr>
          <w:ilvl w:val="0"/>
          <w:numId w:val="4"/>
        </w:numPr>
        <w:jc w:val="both"/>
        <w:rPr>
          <w:b/>
          <w:bCs/>
          <w:sz w:val="20"/>
        </w:rPr>
      </w:pPr>
      <w:r>
        <w:rPr>
          <w:sz w:val="20"/>
        </w:rPr>
        <w:t>Testing in Italy on the third unit will delay shipment until the end of Jan ’02.  Unit console functional test is scheduled for the first week of January and Fire Test is scheduled for the third week of January.</w:t>
      </w:r>
    </w:p>
    <w:p>
      <w:pPr>
        <w:pStyle w:val="Normal"/>
        <w:numPr>
          <w:ilvl w:val="0"/>
          <w:numId w:val="4"/>
        </w:numPr>
        <w:jc w:val="both"/>
        <w:rPr>
          <w:sz w:val="20"/>
        </w:rPr>
      </w:pPr>
      <w:r>
        <w:rPr>
          <w:sz w:val="20"/>
        </w:rPr>
        <w:t>Application was filed with FERC on Nov. 26</w:t>
      </w:r>
      <w:r>
        <w:rPr>
          <w:sz w:val="20"/>
          <w:vertAlign w:val="superscript"/>
        </w:rPr>
        <w:t>th</w:t>
      </w:r>
      <w:r>
        <w:rPr>
          <w:sz w:val="20"/>
        </w:rPr>
        <w:t xml:space="preserve"> requesting an extension of time until July 2003 to replace units at Station 4.  Application also stated that we would continue to operate and maintain facilities at Station 4.  No reply from FERC to date and Keith Petersen is monitoring the situation.</w:t>
      </w:r>
    </w:p>
    <w:p>
      <w:pPr>
        <w:pStyle w:val="Normal"/>
        <w:numPr>
          <w:ilvl w:val="0"/>
          <w:numId w:val="2"/>
        </w:numPr>
        <w:jc w:val="both"/>
        <w:rPr>
          <w:sz w:val="20"/>
        </w:rPr>
      </w:pPr>
      <w:r>
        <w:rPr>
          <w:sz w:val="20"/>
        </w:rPr>
        <w:t>GULFEX completed fabrication of Station 1 cooler spools and they are being painted.  Material for Station 2 has been received and fabrication should be completed by the end of January.</w:t>
      </w:r>
    </w:p>
    <w:p>
      <w:pPr>
        <w:pStyle w:val="Normal"/>
        <w:numPr>
          <w:ilvl w:val="0"/>
          <w:numId w:val="2"/>
        </w:numPr>
        <w:jc w:val="both"/>
        <w:rPr>
          <w:sz w:val="20"/>
        </w:rPr>
      </w:pPr>
      <w:r>
        <w:rPr>
          <w:sz w:val="20"/>
        </w:rPr>
        <w:t>Construction Contracts were awarded (Station 1 – Sunland, Station 2 – Ranger, and Station 3 – Foutz &amp; Bursum) and contractors mobilized this week.  Mobilization payments were wired on December 18, 2001.</w:t>
      </w:r>
    </w:p>
    <w:p>
      <w:pPr>
        <w:pStyle w:val="Normal"/>
        <w:numPr>
          <w:ilvl w:val="0"/>
          <w:numId w:val="2"/>
        </w:numPr>
        <w:jc w:val="both"/>
        <w:rPr>
          <w:sz w:val="20"/>
        </w:rPr>
      </w:pPr>
      <w:r>
        <w:rPr>
          <w:sz w:val="20"/>
        </w:rPr>
        <w:t>Enron site personnel also mobilized this week.  Chief at Station 1 is Leonard Meeks, Station 2 is Ron Roller, and Station 3 is Lee Danheim.  Contact information will be distributed to the team shortly.</w:t>
      </w:r>
    </w:p>
    <w:p>
      <w:pPr>
        <w:pStyle w:val="Normal"/>
        <w:jc w:val="both"/>
        <w:rPr>
          <w:sz w:val="20"/>
        </w:rPr>
      </w:pPr>
      <w:r>
        <w:rPr>
          <w:sz w:val="20"/>
        </w:rPr>
      </w:r>
    </w:p>
    <w:p>
      <w:pPr>
        <w:pStyle w:val="Normal"/>
        <w:numPr>
          <w:ilvl w:val="0"/>
          <w:numId w:val="3"/>
        </w:numPr>
        <w:jc w:val="both"/>
        <w:rPr>
          <w:b/>
          <w:bCs/>
          <w:sz w:val="20"/>
        </w:rPr>
      </w:pPr>
      <w:r>
        <w:rPr>
          <w:b/>
          <w:bCs/>
          <w:sz w:val="20"/>
          <w:u w:val="single"/>
        </w:rPr>
        <w:t>OBJECTIVES FOR NEXT WEEK</w:t>
      </w:r>
      <w:r>
        <w:rPr>
          <w:b/>
          <w:bCs/>
          <w:sz w:val="20"/>
        </w:rPr>
        <w:t xml:space="preserve">: </w:t>
      </w:r>
    </w:p>
    <w:p>
      <w:pPr>
        <w:pStyle w:val="Normal"/>
        <w:jc w:val="both"/>
        <w:rPr>
          <w:b/>
          <w:bCs/>
          <w:sz w:val="20"/>
        </w:rPr>
      </w:pPr>
      <w:r>
        <w:rPr>
          <w:b/>
          <w:bCs/>
          <w:sz w:val="20"/>
        </w:rPr>
      </w:r>
    </w:p>
    <w:p>
      <w:pPr>
        <w:pStyle w:val="Normal"/>
        <w:numPr>
          <w:ilvl w:val="0"/>
          <w:numId w:val="2"/>
        </w:numPr>
        <w:jc w:val="both"/>
        <w:rPr>
          <w:sz w:val="20"/>
        </w:rPr>
      </w:pPr>
      <w:r>
        <w:rPr>
          <w:sz w:val="20"/>
        </w:rPr>
        <w:t>Complete reproduction and issue Construction Drawings to contractors.</w:t>
      </w:r>
    </w:p>
    <w:p>
      <w:pPr>
        <w:pStyle w:val="Normal"/>
        <w:numPr>
          <w:ilvl w:val="0"/>
          <w:numId w:val="2"/>
        </w:numPr>
        <w:jc w:val="both"/>
        <w:rPr>
          <w:sz w:val="20"/>
        </w:rPr>
      </w:pPr>
      <w:r>
        <w:rPr>
          <w:sz w:val="20"/>
        </w:rPr>
        <w:t>Negotiate and issue payments to vendors as required to maintain project schedule.</w:t>
      </w:r>
    </w:p>
    <w:p>
      <w:pPr>
        <w:pStyle w:val="Normal"/>
        <w:numPr>
          <w:ilvl w:val="0"/>
          <w:numId w:val="2"/>
        </w:numPr>
        <w:jc w:val="both"/>
        <w:rPr>
          <w:sz w:val="20"/>
        </w:rPr>
      </w:pPr>
      <w:r>
        <w:rPr>
          <w:sz w:val="20"/>
        </w:rPr>
        <w:t>Complete County Building Permit Application for Station 2 and return to Roswell for processing.</w:t>
      </w:r>
    </w:p>
    <w:p>
      <w:pPr>
        <w:pStyle w:val="Normal"/>
        <w:numPr>
          <w:ilvl w:val="0"/>
          <w:numId w:val="2"/>
        </w:numPr>
        <w:jc w:val="both"/>
        <w:rPr>
          <w:sz w:val="20"/>
        </w:rPr>
      </w:pPr>
      <w:r>
        <w:rPr>
          <w:sz w:val="20"/>
        </w:rPr>
        <w:t>Shipping release on all material and provide vendors shipping instructions.</w:t>
      </w:r>
    </w:p>
    <w:p>
      <w:pPr>
        <w:pStyle w:val="Normal"/>
        <w:jc w:val="both"/>
        <w:rPr>
          <w:b/>
          <w:bCs/>
          <w:sz w:val="20"/>
          <w:u w:val="single"/>
        </w:rPr>
      </w:pPr>
      <w:r>
        <w:rPr>
          <w:b/>
          <w:bCs/>
          <w:sz w:val="20"/>
          <w:u w:val="single"/>
        </w:rPr>
      </w:r>
    </w:p>
    <w:p>
      <w:pPr>
        <w:pStyle w:val="Normal"/>
        <w:numPr>
          <w:ilvl w:val="0"/>
          <w:numId w:val="3"/>
        </w:numPr>
        <w:jc w:val="both"/>
        <w:rPr>
          <w:b/>
          <w:bCs/>
          <w:sz w:val="20"/>
          <w:u w:val="single"/>
        </w:rPr>
      </w:pPr>
      <w:r>
        <w:rPr>
          <w:b/>
          <w:bCs/>
          <w:sz w:val="20"/>
          <w:u w:val="single"/>
        </w:rPr>
        <w:t>OLD ISSUES:</w:t>
      </w:r>
    </w:p>
    <w:p>
      <w:pPr>
        <w:pStyle w:val="Normal"/>
        <w:jc w:val="both"/>
        <w:rPr>
          <w:b/>
          <w:bCs/>
          <w:sz w:val="20"/>
          <w:u w:val="single"/>
        </w:rPr>
      </w:pPr>
      <w:r>
        <w:rPr>
          <w:b/>
          <w:bCs/>
          <w:sz w:val="20"/>
          <w:u w:val="single"/>
        </w:rPr>
      </w:r>
    </w:p>
    <w:p>
      <w:pPr>
        <w:pStyle w:val="Normal"/>
        <w:jc w:val="both"/>
        <w:rPr>
          <w:sz w:val="20"/>
        </w:rPr>
      </w:pPr>
      <w:r>
        <w:rPr>
          <w:sz w:val="20"/>
        </w:rPr>
      </w:r>
    </w:p>
    <w:p>
      <w:pPr>
        <w:pStyle w:val="Normal"/>
        <w:numPr>
          <w:ilvl w:val="0"/>
          <w:numId w:val="3"/>
        </w:numPr>
        <w:jc w:val="both"/>
        <w:rPr>
          <w:b/>
          <w:bCs/>
          <w:sz w:val="20"/>
          <w:u w:val="single"/>
        </w:rPr>
      </w:pPr>
      <w:r>
        <w:rPr>
          <w:b/>
          <w:bCs/>
          <w:sz w:val="20"/>
          <w:u w:val="single"/>
        </w:rPr>
        <w:t>AREAS OF CONCERN:</w:t>
      </w:r>
    </w:p>
    <w:p>
      <w:pPr>
        <w:pStyle w:val="Normal"/>
        <w:jc w:val="both"/>
        <w:rPr>
          <w:b/>
          <w:bCs/>
          <w:sz w:val="20"/>
          <w:u w:val="single"/>
        </w:rPr>
      </w:pPr>
      <w:r>
        <w:rPr>
          <w:b/>
          <w:bCs/>
          <w:sz w:val="20"/>
          <w:u w:val="single"/>
        </w:rPr>
      </w:r>
    </w:p>
    <w:p>
      <w:pPr>
        <w:pStyle w:val="Normal"/>
        <w:numPr>
          <w:ilvl w:val="0"/>
          <w:numId w:val="2"/>
        </w:numPr>
        <w:jc w:val="both"/>
        <w:rPr>
          <w:b/>
          <w:bCs/>
          <w:sz w:val="20"/>
        </w:rPr>
      </w:pPr>
      <w:r>
        <w:rPr>
          <w:rFonts w:cs="Arial"/>
          <w:sz w:val="20"/>
        </w:rPr>
        <w:t xml:space="preserve">After analyzing the impact of our current financial situation, late permit receipt, and resulting late construction start, the current schedule shows an in-service date of June 1, 2002 for Stations 1 &amp; 2 and June 15, 2001 for Station 3.  Options are being explored to improve the chances of attaining the June 1, 2002 in service date at all three stations, including incentives to the contractors and accelerating of building erection activities.  </w:t>
      </w:r>
      <w:r>
        <w:rPr>
          <w:rFonts w:cs="Arial"/>
          <w:b/>
          <w:bCs/>
          <w:sz w:val="20"/>
        </w:rPr>
        <w:t>Any further changes to the target in-service dates will be communicated to the team immediately.</w:t>
      </w:r>
    </w:p>
    <w:p>
      <w:pPr>
        <w:pStyle w:val="Normal"/>
        <w:numPr>
          <w:ilvl w:val="0"/>
          <w:numId w:val="4"/>
        </w:numPr>
        <w:jc w:val="both"/>
        <w:rPr>
          <w:sz w:val="20"/>
        </w:rPr>
      </w:pPr>
      <w:r>
        <w:rPr>
          <w:sz w:val="20"/>
        </w:rPr>
        <w:t>Cash flow and spending caps for 2002, and the resulting further impacts to scheduled in service dates.</w:t>
      </w:r>
    </w:p>
    <w:p>
      <w:pPr>
        <w:pStyle w:val="Normal"/>
        <w:numPr>
          <w:ilvl w:val="0"/>
          <w:numId w:val="4"/>
        </w:numPr>
        <w:jc w:val="both"/>
        <w:rPr>
          <w:sz w:val="20"/>
        </w:rPr>
      </w:pPr>
      <w:r>
        <w:rPr>
          <w:sz w:val="20"/>
        </w:rPr>
        <w:t>Material and Equipment delays due to Vendors requesting advanced or pre payments.</w:t>
      </w:r>
    </w:p>
    <w:p>
      <w:pPr>
        <w:pStyle w:val="Normal"/>
        <w:numPr>
          <w:ilvl w:val="0"/>
          <w:numId w:val="4"/>
        </w:numPr>
        <w:jc w:val="both"/>
        <w:rPr>
          <w:sz w:val="20"/>
        </w:rPr>
      </w:pPr>
      <w:r>
        <w:rPr>
          <w:sz w:val="20"/>
        </w:rPr>
        <w:t>Delayed Construction start date and winter construction.</w:t>
      </w:r>
    </w:p>
    <w:p>
      <w:pPr>
        <w:pStyle w:val="Normal"/>
        <w:numPr>
          <w:ilvl w:val="0"/>
          <w:numId w:val="4"/>
        </w:numPr>
        <w:jc w:val="both"/>
        <w:rPr>
          <w:sz w:val="20"/>
        </w:rPr>
      </w:pPr>
      <w:r>
        <w:rPr>
          <w:sz w:val="20"/>
        </w:rPr>
        <w:t>Maintaining Nuovo Pignone testing and delivery schedule.</w:t>
      </w:r>
    </w:p>
    <w:p>
      <w:pPr>
        <w:pStyle w:val="Normal"/>
        <w:jc w:val="both"/>
        <w:rPr>
          <w:b/>
          <w:bCs/>
          <w:sz w:val="20"/>
          <w:u w:val="single"/>
        </w:rPr>
      </w:pPr>
      <w:r>
        <w:rPr>
          <w:b/>
          <w:bCs/>
          <w:sz w:val="20"/>
          <w:u w:val="single"/>
        </w:rPr>
      </w:r>
    </w:p>
    <w:p>
      <w:pPr>
        <w:pStyle w:val="Normal"/>
        <w:numPr>
          <w:ilvl w:val="0"/>
          <w:numId w:val="3"/>
        </w:numPr>
        <w:jc w:val="both"/>
        <w:rPr>
          <w:b/>
          <w:bCs/>
          <w:sz w:val="20"/>
          <w:u w:val="single"/>
        </w:rPr>
      </w:pPr>
      <w:r>
        <w:rPr>
          <w:b/>
          <w:bCs/>
          <w:sz w:val="20"/>
          <w:u w:val="single"/>
        </w:rPr>
        <w:t>FINANCIAL STATUS:</w:t>
      </w:r>
    </w:p>
    <w:p>
      <w:pPr>
        <w:pStyle w:val="Normal"/>
        <w:jc w:val="both"/>
        <w:rPr>
          <w:b/>
          <w:bCs/>
          <w:sz w:val="20"/>
          <w:u w:val="single"/>
        </w:rPr>
      </w:pPr>
      <w:r>
        <w:rPr>
          <w:b/>
          <w:bCs/>
          <w:sz w:val="20"/>
          <w:u w:val="single"/>
        </w:rPr>
      </w:r>
    </w:p>
    <w:p>
      <w:pPr>
        <w:pStyle w:val="Normal"/>
        <w:numPr>
          <w:ilvl w:val="0"/>
          <w:numId w:val="5"/>
        </w:numPr>
        <w:jc w:val="both"/>
        <w:rPr>
          <w:sz w:val="20"/>
        </w:rPr>
      </w:pPr>
      <w:r>
        <w:rPr>
          <w:sz w:val="20"/>
        </w:rPr>
        <w:t>Project costs through November are approximately $14.0M and commitments total $39.2M.</w:t>
      </w:r>
    </w:p>
    <w:p>
      <w:pPr>
        <w:pStyle w:val="Normal"/>
        <w:numPr>
          <w:ilvl w:val="0"/>
          <w:numId w:val="5"/>
        </w:numPr>
        <w:jc w:val="both"/>
        <w:rPr>
          <w:sz w:val="20"/>
        </w:rPr>
      </w:pPr>
      <w:r>
        <w:rPr>
          <w:sz w:val="20"/>
        </w:rPr>
        <w:t>November expenditures were $700K and commitments were $1.8M.</w:t>
      </w:r>
    </w:p>
    <w:p>
      <w:pPr>
        <w:pStyle w:val="Normal"/>
        <w:ind w:start="360" w:end="0"/>
        <w:jc w:val="both"/>
        <w:rPr>
          <w:sz w:val="20"/>
        </w:rPr>
      </w:pPr>
      <w:r>
        <w:rPr>
          <w:sz w:val="20"/>
        </w:rPr>
      </w:r>
    </w:p>
    <w:p>
      <w:pPr>
        <w:pStyle w:val="Normal"/>
        <w:ind w:start="360" w:end="0"/>
        <w:jc w:val="both"/>
        <w:rPr>
          <w:sz w:val="20"/>
          <w:highlight w:val="green"/>
        </w:rPr>
      </w:pPr>
      <w:r>
        <w:rPr>
          <w:sz w:val="20"/>
          <w:highlight w:val="green"/>
        </w:rPr>
      </w:r>
    </w:p>
    <w:p>
      <w:pPr>
        <w:pStyle w:val="Normal"/>
        <w:ind w:start="360" w:end="0"/>
        <w:jc w:val="both"/>
        <w:rPr>
          <w:b/>
          <w:bCs/>
          <w:sz w:val="28"/>
          <w:highlight w:val="green"/>
        </w:rPr>
      </w:pPr>
      <w:r>
        <w:rPr>
          <w:b/>
          <w:bCs/>
          <w:sz w:val="28"/>
          <w:highlight w:val="green"/>
        </w:rPr>
        <w:t>Next report will be issued on January 3, 2002.</w:t>
      </w:r>
    </w:p>
    <w:sectPr>
      <w:type w:val="nextPage"/>
      <w:pgSz w:w="12240" w:h="15840"/>
      <w:pgMar w:left="1260" w:right="1080" w:gutter="0" w:header="0" w:top="720" w:footer="0" w:bottom="4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Helv;Arial" w:hAnsi="Helv;Arial" w:cs="Helv;Arial"/>
      <w:sz w:val="28"/>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5">
    <w:name w:val="WW8Num13z5"/>
    <w:qFormat/>
    <w:rPr>
      <w:rFonts w:ascii="Wingdings" w:hAnsi="Wingdings" w:cs="Wingdings"/>
    </w:rPr>
  </w:style>
  <w:style w:type="character" w:styleId="WW8Num14z0">
    <w:name w:val="WW8Num14z0"/>
    <w:qFormat/>
    <w:rPr>
      <w:rFonts w:ascii="Symbol" w:hAnsi="Symbol" w:cs="Symbol"/>
    </w:rPr>
  </w:style>
  <w:style w:type="character" w:styleId="WW8Num15z1">
    <w:name w:val="WW8Num15z1"/>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7z2">
    <w:name w:val="WW8Num17z2"/>
    <w:qFormat/>
    <w:rPr>
      <w:rFonts w:ascii="Wingdings" w:hAnsi="Wingdings" w:cs="Wingdings"/>
    </w:rPr>
  </w:style>
  <w:style w:type="character" w:styleId="WW8Num17z4">
    <w:name w:val="WW8Num17z4"/>
    <w:qFormat/>
    <w:rPr>
      <w:rFonts w:ascii="Courier New" w:hAnsi="Courier New" w:cs="Courier New"/>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DefaultParagraphFont">
    <w:name w:val="Default Paragraph Font"/>
    <w:qFormat/>
    <w:rPr/>
  </w:style>
  <w:style w:type="character" w:styleId="body1">
    <w:name w:val="body1"/>
    <w:basedOn w:val="DefaultParagraphFont"/>
    <w:qFormat/>
    <w:rPr>
      <w:rFonts w:ascii="Arial" w:hAnsi="Arial" w:cs="Arial"/>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xl24">
    <w:name w:val="xl24"/>
    <w:basedOn w:val="Normal"/>
    <w:qFormat/>
    <w:pPr>
      <w:spacing w:before="100" w:after="100"/>
      <w:jc w:val="center"/>
    </w:pPr>
    <w:rPr>
      <w:rFonts w:ascii="Arial Unicode MS" w:hAnsi="Arial Unicode MS" w:eastAsia="Arial Unicode MS" w:cs="Arial Unicode MS"/>
      <w:szCs w:val="24"/>
    </w:rPr>
  </w:style>
  <w:style w:type="paragraph" w:styleId="xl25">
    <w:name w:val="xl25"/>
    <w:basedOn w:val="Normal"/>
    <w:qFormat/>
    <w:pPr>
      <w:spacing w:before="100" w:after="100"/>
      <w:jc w:val="center"/>
    </w:pPr>
    <w:rPr>
      <w:rFonts w:ascii="Arial Unicode MS" w:hAnsi="Arial Unicode MS" w:eastAsia="Arial Unicode MS" w:cs="Arial Unicode MS"/>
      <w:szCs w:val="24"/>
    </w:rPr>
  </w:style>
  <w:style w:type="paragraph" w:styleId="xl26">
    <w:name w:val="xl26"/>
    <w:basedOn w:val="Normal"/>
    <w:qFormat/>
    <w:pPr>
      <w:pBdr>
        <w:bottom w:val="single" w:sz="8" w:space="0" w:color="000000"/>
      </w:pBdr>
      <w:spacing w:before="100" w:after="100"/>
    </w:pPr>
    <w:rPr>
      <w:rFonts w:ascii="Arial Unicode MS" w:hAnsi="Arial Unicode MS" w:eastAsia="Arial Unicode MS" w:cs="Arial Unicode MS"/>
      <w:szCs w:val="24"/>
    </w:rPr>
  </w:style>
  <w:style w:type="paragraph" w:styleId="xl27">
    <w:name w:val="xl27"/>
    <w:basedOn w:val="Normal"/>
    <w:qFormat/>
    <w:pPr>
      <w:pBdr>
        <w:bottom w:val="single" w:sz="8" w:space="0" w:color="000000"/>
      </w:pBdr>
      <w:spacing w:before="100" w:after="100"/>
      <w:jc w:val="center"/>
    </w:pPr>
    <w:rPr>
      <w:rFonts w:ascii="Arial Unicode MS" w:hAnsi="Arial Unicode MS" w:eastAsia="Arial Unicode MS" w:cs="Arial Unicode MS"/>
      <w:szCs w:val="24"/>
    </w:rPr>
  </w:style>
  <w:style w:type="paragraph" w:styleId="xl28">
    <w:name w:val="xl28"/>
    <w:basedOn w:val="Normal"/>
    <w:qFormat/>
    <w:pPr>
      <w:spacing w:before="100" w:after="100"/>
    </w:pPr>
    <w:rPr>
      <w:rFonts w:eastAsia="Arial Unicode MS" w:cs="Arial"/>
      <w:b/>
      <w:bCs/>
      <w:sz w:val="28"/>
      <w:szCs w:val="28"/>
    </w:rPr>
  </w:style>
  <w:style w:type="paragraph" w:styleId="xl29">
    <w:name w:val="xl29"/>
    <w:basedOn w:val="Normal"/>
    <w:qFormat/>
    <w:pPr>
      <w:spacing w:before="100" w:after="100"/>
    </w:pPr>
    <w:rPr>
      <w:rFonts w:eastAsia="Arial Unicode MS" w:cs="Arial"/>
      <w:sz w:val="28"/>
      <w:szCs w:val="28"/>
    </w:rPr>
  </w:style>
  <w:style w:type="paragraph" w:styleId="xl30">
    <w:name w:val="xl30"/>
    <w:basedOn w:val="Normal"/>
    <w:qFormat/>
    <w:pPr>
      <w:pBdr>
        <w:left w:val="single" w:sz="8" w:space="0" w:color="000000"/>
      </w:pBdr>
      <w:spacing w:before="100" w:after="100"/>
      <w:jc w:val="center"/>
    </w:pPr>
    <w:rPr>
      <w:rFonts w:eastAsia="Arial Unicode MS" w:cs="Arial"/>
      <w:b/>
      <w:bCs/>
      <w:color w:val="000080"/>
      <w:szCs w:val="24"/>
    </w:rPr>
  </w:style>
  <w:style w:type="paragraph" w:styleId="xl31">
    <w:name w:val="xl31"/>
    <w:basedOn w:val="Normal"/>
    <w:qFormat/>
    <w:pPr>
      <w:pBdr>
        <w:left w:val="single" w:sz="8" w:space="0" w:color="000000"/>
      </w:pBdr>
      <w:spacing w:before="100" w:after="100"/>
      <w:jc w:val="center"/>
    </w:pPr>
    <w:rPr>
      <w:rFonts w:ascii="Arial Unicode MS" w:hAnsi="Arial Unicode MS" w:eastAsia="Arial Unicode MS" w:cs="Arial Unicode MS"/>
      <w:szCs w:val="24"/>
    </w:rPr>
  </w:style>
  <w:style w:type="paragraph" w:styleId="xl32">
    <w:name w:val="xl32"/>
    <w:basedOn w:val="Normal"/>
    <w:qFormat/>
    <w:pPr>
      <w:pBdr>
        <w:top w:val="single" w:sz="4" w:space="0" w:color="000000"/>
        <w:left w:val="single" w:sz="8" w:space="0" w:color="000000"/>
        <w:bottom w:val="double" w:sz="6" w:space="0" w:color="000000"/>
      </w:pBdr>
      <w:spacing w:before="100" w:after="100"/>
      <w:jc w:val="center"/>
    </w:pPr>
    <w:rPr>
      <w:rFonts w:eastAsia="Arial Unicode MS" w:cs="Arial"/>
      <w:b/>
      <w:bCs/>
      <w:szCs w:val="24"/>
    </w:rPr>
  </w:style>
  <w:style w:type="paragraph" w:styleId="xl33">
    <w:name w:val="xl33"/>
    <w:basedOn w:val="Normal"/>
    <w:qFormat/>
    <w:pPr>
      <w:spacing w:before="100" w:after="100"/>
      <w:jc w:val="center"/>
    </w:pPr>
    <w:rPr>
      <w:rFonts w:ascii="Arial Unicode MS" w:hAnsi="Arial Unicode MS" w:eastAsia="Arial Unicode MS" w:cs="Arial Unicode MS"/>
      <w:szCs w:val="24"/>
    </w:rPr>
  </w:style>
  <w:style w:type="paragraph" w:styleId="xl34">
    <w:name w:val="xl34"/>
    <w:basedOn w:val="Normal"/>
    <w:qFormat/>
    <w:pPr>
      <w:pBdr>
        <w:bottom w:val="single" w:sz="8" w:space="0" w:color="000000"/>
      </w:pBdr>
      <w:spacing w:before="100" w:after="100"/>
      <w:jc w:val="center"/>
    </w:pPr>
    <w:rPr>
      <w:rFonts w:ascii="Arial Unicode MS" w:hAnsi="Arial Unicode MS" w:eastAsia="Arial Unicode MS" w:cs="Arial Unicode MS"/>
      <w:szCs w:val="24"/>
    </w:rPr>
  </w:style>
  <w:style w:type="paragraph" w:styleId="xl35">
    <w:name w:val="xl35"/>
    <w:basedOn w:val="Normal"/>
    <w:qFormat/>
    <w:pPr>
      <w:spacing w:before="100" w:after="100"/>
    </w:pPr>
    <w:rPr>
      <w:rFonts w:eastAsia="Arial Unicode MS" w:cs="Arial"/>
      <w:sz w:val="28"/>
      <w:szCs w:val="28"/>
    </w:rPr>
  </w:style>
  <w:style w:type="paragraph" w:styleId="xl36">
    <w:name w:val="xl36"/>
    <w:basedOn w:val="Normal"/>
    <w:qFormat/>
    <w:pPr>
      <w:spacing w:before="100" w:after="100"/>
    </w:pPr>
    <w:rPr>
      <w:rFonts w:eastAsia="Arial Unicode MS" w:cs="Arial"/>
      <w:sz w:val="28"/>
      <w:szCs w:val="28"/>
    </w:rPr>
  </w:style>
  <w:style w:type="paragraph" w:styleId="xl37">
    <w:name w:val="xl37"/>
    <w:basedOn w:val="Normal"/>
    <w:qFormat/>
    <w:pPr>
      <w:spacing w:before="100" w:after="100"/>
    </w:pPr>
    <w:rPr>
      <w:rFonts w:eastAsia="Arial Unicode MS" w:cs="Arial"/>
      <w:b/>
      <w:bCs/>
      <w:sz w:val="28"/>
      <w:szCs w:val="28"/>
    </w:rPr>
  </w:style>
  <w:style w:type="paragraph" w:styleId="xl38">
    <w:name w:val="xl38"/>
    <w:basedOn w:val="Normal"/>
    <w:qFormat/>
    <w:pPr>
      <w:pBdr>
        <w:right w:val="single" w:sz="8" w:space="0" w:color="000000"/>
      </w:pBdr>
      <w:spacing w:before="100" w:after="100"/>
    </w:pPr>
    <w:rPr>
      <w:rFonts w:eastAsia="Arial Unicode MS" w:cs="Arial"/>
      <w:b/>
      <w:bCs/>
      <w:szCs w:val="24"/>
    </w:rPr>
  </w:style>
  <w:style w:type="paragraph" w:styleId="xl39">
    <w:name w:val="xl39"/>
    <w:basedOn w:val="Normal"/>
    <w:qFormat/>
    <w:pPr>
      <w:pBdr>
        <w:right w:val="single" w:sz="8" w:space="0" w:color="000000"/>
      </w:pBdr>
      <w:spacing w:before="100" w:after="100"/>
    </w:pPr>
    <w:rPr>
      <w:rFonts w:ascii="Arial Unicode MS" w:hAnsi="Arial Unicode MS" w:eastAsia="Arial Unicode MS" w:cs="Arial Unicode MS"/>
      <w:szCs w:val="24"/>
    </w:rPr>
  </w:style>
  <w:style w:type="paragraph" w:styleId="xl40">
    <w:name w:val="xl40"/>
    <w:basedOn w:val="Normal"/>
    <w:qFormat/>
    <w:pPr>
      <w:pBdr>
        <w:left w:val="single" w:sz="8" w:space="0" w:color="000000"/>
      </w:pBdr>
      <w:spacing w:before="100" w:after="100"/>
      <w:jc w:val="center"/>
    </w:pPr>
    <w:rPr>
      <w:rFonts w:eastAsia="Arial Unicode MS" w:cs="Arial"/>
      <w:b/>
      <w:bCs/>
      <w:color w:val="000080"/>
      <w:szCs w:val="24"/>
    </w:rPr>
  </w:style>
  <w:style w:type="paragraph" w:styleId="xl41">
    <w:name w:val="xl41"/>
    <w:basedOn w:val="Normal"/>
    <w:qFormat/>
    <w:pPr>
      <w:pBdr>
        <w:left w:val="single" w:sz="8" w:space="0" w:color="000000"/>
      </w:pBdr>
      <w:spacing w:before="100" w:after="100"/>
      <w:jc w:val="center"/>
    </w:pPr>
    <w:rPr>
      <w:rFonts w:ascii="Arial Unicode MS" w:hAnsi="Arial Unicode MS" w:eastAsia="Arial Unicode MS" w:cs="Arial Unicode MS"/>
      <w:szCs w:val="24"/>
    </w:rPr>
  </w:style>
  <w:style w:type="paragraph" w:styleId="xl42">
    <w:name w:val="xl42"/>
    <w:basedOn w:val="Normal"/>
    <w:qFormat/>
    <w:pPr>
      <w:pBdr>
        <w:top w:val="single" w:sz="4" w:space="0" w:color="000000"/>
        <w:left w:val="single" w:sz="8" w:space="0" w:color="000000"/>
        <w:bottom w:val="double" w:sz="6" w:space="0" w:color="000000"/>
      </w:pBdr>
      <w:spacing w:before="100" w:after="100"/>
      <w:jc w:val="center"/>
    </w:pPr>
    <w:rPr>
      <w:rFonts w:eastAsia="Arial Unicode MS" w:cs="Arial"/>
      <w:b/>
      <w:bCs/>
      <w:szCs w:val="24"/>
    </w:rPr>
  </w:style>
  <w:style w:type="paragraph" w:styleId="xl43">
    <w:name w:val="xl43"/>
    <w:basedOn w:val="Normal"/>
    <w:qFormat/>
    <w:pPr>
      <w:pBdr>
        <w:left w:val="single" w:sz="8" w:space="0" w:color="000000"/>
      </w:pBdr>
      <w:spacing w:before="100" w:after="100"/>
      <w:jc w:val="center"/>
    </w:pPr>
    <w:rPr>
      <w:rFonts w:eastAsia="Arial Unicode MS" w:cs="Arial"/>
      <w:b/>
      <w:bCs/>
      <w:color w:val="000080"/>
      <w:szCs w:val="24"/>
    </w:rPr>
  </w:style>
  <w:style w:type="paragraph" w:styleId="xl44">
    <w:name w:val="xl44"/>
    <w:basedOn w:val="Normal"/>
    <w:qFormat/>
    <w:pPr>
      <w:pBdr>
        <w:top w:val="single" w:sz="4" w:space="0" w:color="000000"/>
        <w:left w:val="single" w:sz="8" w:space="0" w:color="000000"/>
        <w:bottom w:val="double" w:sz="6" w:space="0" w:color="000000"/>
      </w:pBdr>
      <w:spacing w:before="100" w:after="100"/>
      <w:jc w:val="center"/>
    </w:pPr>
    <w:rPr>
      <w:rFonts w:eastAsia="Arial Unicode MS" w:cs="Arial"/>
      <w:b/>
      <w:bCs/>
      <w:szCs w:val="24"/>
    </w:rPr>
  </w:style>
  <w:style w:type="paragraph" w:styleId="xl45">
    <w:name w:val="xl45"/>
    <w:basedOn w:val="Normal"/>
    <w:qFormat/>
    <w:pPr>
      <w:spacing w:before="100" w:after="100"/>
    </w:pPr>
    <w:rPr>
      <w:rFonts w:eastAsia="Arial Unicode MS" w:cs="Arial"/>
      <w:b/>
      <w:bCs/>
      <w:sz w:val="32"/>
      <w:szCs w:val="32"/>
    </w:rPr>
  </w:style>
  <w:style w:type="paragraph" w:styleId="xl46">
    <w:name w:val="xl46"/>
    <w:basedOn w:val="Normal"/>
    <w:qFormat/>
    <w:pPr>
      <w:spacing w:before="100" w:after="100"/>
    </w:pPr>
    <w:rPr>
      <w:rFonts w:eastAsia="Arial Unicode MS" w:cs="Arial"/>
      <w:b/>
      <w:bCs/>
      <w:sz w:val="28"/>
      <w:szCs w:val="28"/>
    </w:rPr>
  </w:style>
  <w:style w:type="paragraph" w:styleId="xl47">
    <w:name w:val="xl47"/>
    <w:basedOn w:val="Normal"/>
    <w:qFormat/>
    <w:pPr>
      <w:pBdr>
        <w:left w:val="single" w:sz="8" w:space="0" w:color="000000"/>
        <w:right w:val="single" w:sz="8" w:space="0" w:color="000000"/>
      </w:pBdr>
      <w:spacing w:before="100" w:after="100"/>
      <w:jc w:val="center"/>
    </w:pPr>
    <w:rPr>
      <w:rFonts w:eastAsia="Arial Unicode MS" w:cs="Arial"/>
      <w:b/>
      <w:bCs/>
      <w:color w:val="000080"/>
      <w:szCs w:val="24"/>
    </w:rPr>
  </w:style>
  <w:style w:type="paragraph" w:styleId="xl48">
    <w:name w:val="xl48"/>
    <w:basedOn w:val="Normal"/>
    <w:qFormat/>
    <w:pPr>
      <w:spacing w:before="100" w:after="100"/>
      <w:jc w:val="center"/>
    </w:pPr>
    <w:rPr>
      <w:rFonts w:eastAsia="Arial Unicode MS" w:cs="Arial"/>
      <w:b/>
      <w:bCs/>
      <w:szCs w:val="24"/>
    </w:rPr>
  </w:style>
  <w:style w:type="paragraph" w:styleId="xl49">
    <w:name w:val="xl49"/>
    <w:basedOn w:val="Normal"/>
    <w:qFormat/>
    <w:pPr>
      <w:pBdr>
        <w:bottom w:val="single" w:sz="8" w:space="0" w:color="000000"/>
      </w:pBdr>
      <w:spacing w:before="100" w:after="100"/>
      <w:jc w:val="center"/>
    </w:pPr>
    <w:rPr>
      <w:rFonts w:eastAsia="Arial Unicode MS" w:cs="Arial"/>
      <w:b/>
      <w:bCs/>
      <w:szCs w:val="24"/>
    </w:rPr>
  </w:style>
  <w:style w:type="paragraph" w:styleId="xl50">
    <w:name w:val="xl50"/>
    <w:basedOn w:val="Normal"/>
    <w:qFormat/>
    <w:pPr>
      <w:pBdr>
        <w:top w:val="single" w:sz="8" w:space="0" w:color="000000"/>
        <w:left w:val="single" w:sz="8" w:space="0" w:color="000000"/>
      </w:pBdr>
      <w:spacing w:before="100" w:after="100"/>
    </w:pPr>
    <w:rPr>
      <w:rFonts w:eastAsia="Arial Unicode MS" w:cs="Arial"/>
      <w:b/>
      <w:bCs/>
      <w:i/>
      <w:iCs/>
      <w:sz w:val="16"/>
      <w:szCs w:val="16"/>
    </w:rPr>
  </w:style>
  <w:style w:type="paragraph" w:styleId="xl51">
    <w:name w:val="xl51"/>
    <w:basedOn w:val="Normal"/>
    <w:qFormat/>
    <w:pPr>
      <w:pBdr>
        <w:left w:val="single" w:sz="8" w:space="0" w:color="000000"/>
        <w:bottom w:val="single" w:sz="8" w:space="0" w:color="000000"/>
      </w:pBdr>
      <w:spacing w:before="100" w:after="100"/>
      <w:jc w:val="center"/>
    </w:pPr>
    <w:rPr>
      <w:rFonts w:eastAsia="Arial Unicode MS" w:cs="Arial"/>
      <w:b/>
      <w:bCs/>
      <w:i/>
      <w:iCs/>
      <w:szCs w:val="24"/>
    </w:rPr>
  </w:style>
  <w:style w:type="paragraph" w:styleId="xl52">
    <w:name w:val="xl52"/>
    <w:basedOn w:val="Normal"/>
    <w:qFormat/>
    <w:pPr>
      <w:spacing w:before="100" w:after="100"/>
      <w:jc w:val="center"/>
    </w:pPr>
    <w:rPr>
      <w:rFonts w:eastAsia="Arial Unicode MS" w:cs="Arial"/>
      <w:b/>
      <w:bCs/>
      <w:szCs w:val="24"/>
    </w:rPr>
  </w:style>
  <w:style w:type="paragraph" w:styleId="xl53">
    <w:name w:val="xl53"/>
    <w:basedOn w:val="Normal"/>
    <w:qFormat/>
    <w:pPr>
      <w:spacing w:before="100" w:after="100"/>
      <w:jc w:val="center"/>
    </w:pPr>
    <w:rPr>
      <w:rFonts w:eastAsia="Arial Unicode MS" w:cs="Arial"/>
      <w:szCs w:val="24"/>
    </w:rPr>
  </w:style>
  <w:style w:type="paragraph" w:styleId="xl54">
    <w:name w:val="xl54"/>
    <w:basedOn w:val="Normal"/>
    <w:qFormat/>
    <w:pPr>
      <w:pBdr>
        <w:bottom w:val="single" w:sz="8" w:space="0" w:color="000000"/>
      </w:pBdr>
      <w:spacing w:before="100" w:after="100"/>
      <w:jc w:val="center"/>
    </w:pPr>
    <w:rPr>
      <w:rFonts w:eastAsia="Arial Unicode MS" w:cs="Arial"/>
      <w:szCs w:val="24"/>
    </w:rPr>
  </w:style>
  <w:style w:type="paragraph" w:styleId="xl55">
    <w:name w:val="xl55"/>
    <w:basedOn w:val="Normal"/>
    <w:qFormat/>
    <w:pPr>
      <w:pBdr>
        <w:left w:val="single" w:sz="8" w:space="0" w:color="000000"/>
      </w:pBdr>
      <w:spacing w:before="100" w:after="100"/>
      <w:jc w:val="center"/>
    </w:pPr>
    <w:rPr>
      <w:rFonts w:eastAsia="Arial Unicode MS" w:cs="Arial"/>
      <w:szCs w:val="24"/>
    </w:rPr>
  </w:style>
  <w:style w:type="paragraph" w:styleId="xl56">
    <w:name w:val="xl56"/>
    <w:basedOn w:val="Normal"/>
    <w:qFormat/>
    <w:pPr>
      <w:spacing w:before="100" w:after="100"/>
      <w:jc w:val="center"/>
    </w:pPr>
    <w:rPr>
      <w:rFonts w:eastAsia="Arial Unicode MS" w:cs="Arial"/>
      <w:szCs w:val="24"/>
    </w:rPr>
  </w:style>
  <w:style w:type="paragraph" w:styleId="xl57">
    <w:name w:val="xl57"/>
    <w:basedOn w:val="Normal"/>
    <w:qFormat/>
    <w:pPr>
      <w:pBdr>
        <w:top w:val="single" w:sz="8" w:space="0" w:color="000000"/>
        <w:left w:val="single" w:sz="8" w:space="0" w:color="000000"/>
      </w:pBdr>
      <w:spacing w:before="100" w:after="100"/>
      <w:jc w:val="center"/>
    </w:pPr>
    <w:rPr>
      <w:rFonts w:eastAsia="Arial Unicode MS" w:cs="Arial"/>
      <w:b/>
      <w:bCs/>
      <w:i/>
      <w:iCs/>
      <w:sz w:val="16"/>
      <w:szCs w:val="16"/>
    </w:rPr>
  </w:style>
  <w:style w:type="paragraph" w:styleId="xl58">
    <w:name w:val="xl58"/>
    <w:basedOn w:val="Normal"/>
    <w:qFormat/>
    <w:pPr>
      <w:pBdr>
        <w:top w:val="single" w:sz="8" w:space="0" w:color="000000"/>
        <w:left w:val="single" w:sz="8" w:space="0" w:color="000000"/>
        <w:right w:val="single" w:sz="8" w:space="0" w:color="000000"/>
      </w:pBdr>
      <w:spacing w:before="100" w:after="100"/>
    </w:pPr>
    <w:rPr>
      <w:rFonts w:eastAsia="Arial Unicode MS" w:cs="Arial"/>
      <w:b/>
      <w:bCs/>
      <w:i/>
      <w:iCs/>
      <w:sz w:val="16"/>
      <w:szCs w:val="16"/>
    </w:rPr>
  </w:style>
  <w:style w:type="paragraph" w:styleId="xl59">
    <w:name w:val="xl59"/>
    <w:basedOn w:val="Normal"/>
    <w:qFormat/>
    <w:pPr>
      <w:pBdr>
        <w:top w:val="single" w:sz="8" w:space="0" w:color="000000"/>
        <w:right w:val="single" w:sz="8" w:space="0" w:color="000000"/>
      </w:pBdr>
      <w:spacing w:before="100" w:after="100"/>
      <w:jc w:val="center"/>
    </w:pPr>
    <w:rPr>
      <w:rFonts w:eastAsia="Arial Unicode MS" w:cs="Arial"/>
      <w:b/>
      <w:bCs/>
      <w:i/>
      <w:iCs/>
      <w:sz w:val="16"/>
      <w:szCs w:val="16"/>
    </w:rPr>
  </w:style>
  <w:style w:type="paragraph" w:styleId="xl60">
    <w:name w:val="xl60"/>
    <w:basedOn w:val="Normal"/>
    <w:qFormat/>
    <w:pPr>
      <w:pBdr>
        <w:left w:val="single" w:sz="8" w:space="0" w:color="000000"/>
        <w:bottom w:val="single" w:sz="8" w:space="0" w:color="000000"/>
      </w:pBdr>
      <w:spacing w:before="100" w:after="100"/>
      <w:jc w:val="center"/>
    </w:pPr>
    <w:rPr>
      <w:rFonts w:eastAsia="Arial Unicode MS" w:cs="Arial"/>
      <w:b/>
      <w:bCs/>
      <w:i/>
      <w:iCs/>
      <w:szCs w:val="24"/>
    </w:rPr>
  </w:style>
  <w:style w:type="paragraph" w:styleId="xl61">
    <w:name w:val="xl61"/>
    <w:basedOn w:val="Normal"/>
    <w:qFormat/>
    <w:pPr>
      <w:pBdr>
        <w:left w:val="single" w:sz="8" w:space="0" w:color="000000"/>
        <w:bottom w:val="single" w:sz="8" w:space="0" w:color="000000"/>
        <w:right w:val="single" w:sz="8" w:space="0" w:color="000000"/>
      </w:pBdr>
      <w:spacing w:before="100" w:after="100"/>
      <w:jc w:val="center"/>
    </w:pPr>
    <w:rPr>
      <w:rFonts w:eastAsia="Arial Unicode MS" w:cs="Arial"/>
      <w:b/>
      <w:bCs/>
      <w:i/>
      <w:iCs/>
      <w:szCs w:val="24"/>
    </w:rPr>
  </w:style>
  <w:style w:type="paragraph" w:styleId="xl62">
    <w:name w:val="xl62"/>
    <w:basedOn w:val="Normal"/>
    <w:qFormat/>
    <w:pPr>
      <w:pBdr>
        <w:bottom w:val="single" w:sz="8" w:space="0" w:color="000000"/>
        <w:right w:val="single" w:sz="8" w:space="0" w:color="000000"/>
      </w:pBdr>
      <w:spacing w:before="100" w:after="100"/>
    </w:pPr>
    <w:rPr>
      <w:rFonts w:eastAsia="Arial Unicode MS" w:cs="Arial"/>
      <w:b/>
      <w:bCs/>
      <w:i/>
      <w:iCs/>
      <w:szCs w:val="24"/>
    </w:rPr>
  </w:style>
  <w:style w:type="paragraph" w:styleId="xl63">
    <w:name w:val="xl63"/>
    <w:basedOn w:val="Normal"/>
    <w:qFormat/>
    <w:pPr>
      <w:pBdr>
        <w:left w:val="single" w:sz="8" w:space="0" w:color="000000"/>
        <w:right w:val="single" w:sz="8" w:space="0" w:color="000000"/>
      </w:pBdr>
      <w:spacing w:before="100" w:after="100"/>
      <w:jc w:val="center"/>
    </w:pPr>
    <w:rPr>
      <w:rFonts w:eastAsia="Arial Unicode MS" w:cs="Arial"/>
      <w:b/>
      <w:bCs/>
      <w:szCs w:val="24"/>
    </w:rPr>
  </w:style>
  <w:style w:type="paragraph" w:styleId="xl64">
    <w:name w:val="xl64"/>
    <w:basedOn w:val="Normal"/>
    <w:qFormat/>
    <w:pPr>
      <w:pBdr>
        <w:top w:val="single" w:sz="4" w:space="0" w:color="000000"/>
        <w:bottom w:val="double" w:sz="6" w:space="0" w:color="000000"/>
      </w:pBdr>
      <w:spacing w:before="100" w:after="100"/>
      <w:jc w:val="center"/>
    </w:pPr>
    <w:rPr>
      <w:rFonts w:eastAsia="Arial Unicode MS" w:cs="Arial"/>
      <w:szCs w:val="24"/>
    </w:rPr>
  </w:style>
  <w:style w:type="paragraph" w:styleId="xl65">
    <w:name w:val="xl65"/>
    <w:basedOn w:val="Normal"/>
    <w:qFormat/>
    <w:pPr>
      <w:pBdr>
        <w:top w:val="single" w:sz="4" w:space="0" w:color="000000"/>
        <w:bottom w:val="double" w:sz="6" w:space="0" w:color="000000"/>
      </w:pBdr>
      <w:spacing w:before="100" w:after="100"/>
      <w:jc w:val="center"/>
    </w:pPr>
    <w:rPr>
      <w:rFonts w:eastAsia="Arial Unicode MS" w:cs="Arial"/>
      <w:b/>
      <w:bCs/>
      <w:szCs w:val="24"/>
    </w:rPr>
  </w:style>
  <w:style w:type="paragraph" w:styleId="xl66">
    <w:name w:val="xl66"/>
    <w:basedOn w:val="Normal"/>
    <w:qFormat/>
    <w:pPr>
      <w:pBdr>
        <w:top w:val="single" w:sz="4" w:space="0" w:color="000000"/>
        <w:bottom w:val="double" w:sz="6" w:space="0" w:color="000000"/>
        <w:right w:val="single" w:sz="8" w:space="0" w:color="000000"/>
      </w:pBdr>
      <w:spacing w:before="100" w:after="100"/>
      <w:jc w:val="center"/>
    </w:pPr>
    <w:rPr>
      <w:rFonts w:eastAsia="Arial Unicode MS" w:cs="Arial"/>
      <w:szCs w:val="24"/>
    </w:rPr>
  </w:style>
  <w:style w:type="paragraph" w:styleId="xl67">
    <w:name w:val="xl67"/>
    <w:basedOn w:val="Normal"/>
    <w:qFormat/>
    <w:pPr>
      <w:pBdr>
        <w:top w:val="single" w:sz="8" w:space="0" w:color="000000"/>
      </w:pBdr>
      <w:spacing w:before="100" w:after="100"/>
    </w:pPr>
    <w:rPr>
      <w:rFonts w:eastAsia="Arial Unicode MS" w:cs="Arial"/>
      <w:b/>
      <w:bCs/>
      <w:i/>
      <w:iCs/>
      <w:sz w:val="16"/>
      <w:szCs w:val="16"/>
    </w:rPr>
  </w:style>
  <w:style w:type="paragraph" w:styleId="xl68">
    <w:name w:val="xl68"/>
    <w:basedOn w:val="Normal"/>
    <w:qFormat/>
    <w:pPr>
      <w:spacing w:before="100" w:after="100"/>
      <w:jc w:val="center"/>
    </w:pPr>
    <w:rPr>
      <w:rFonts w:eastAsia="Arial Unicode MS" w:cs="Arial"/>
      <w:b/>
      <w:bCs/>
      <w:color w:val="000080"/>
      <w:szCs w:val="24"/>
    </w:rPr>
  </w:style>
  <w:style w:type="paragraph" w:styleId="xl69">
    <w:name w:val="xl69"/>
    <w:basedOn w:val="Normal"/>
    <w:qFormat/>
    <w:pPr>
      <w:pBdr>
        <w:left w:val="single" w:sz="8" w:space="0" w:color="000000"/>
        <w:bottom w:val="double" w:sz="6" w:space="0" w:color="000000"/>
      </w:pBdr>
      <w:spacing w:before="100" w:after="100"/>
      <w:jc w:val="center"/>
    </w:pPr>
    <w:rPr>
      <w:rFonts w:eastAsia="Arial Unicode MS" w:cs="Arial"/>
      <w:szCs w:val="24"/>
    </w:rPr>
  </w:style>
  <w:style w:type="paragraph" w:styleId="xl70">
    <w:name w:val="xl70"/>
    <w:basedOn w:val="Normal"/>
    <w:qFormat/>
    <w:pPr>
      <w:pBdr>
        <w:bottom w:val="double" w:sz="6" w:space="0" w:color="000000"/>
      </w:pBdr>
      <w:spacing w:before="100" w:after="100"/>
      <w:jc w:val="center"/>
    </w:pPr>
    <w:rPr>
      <w:rFonts w:eastAsia="Arial Unicode MS" w:cs="Arial"/>
      <w:b/>
      <w:bCs/>
      <w:szCs w:val="24"/>
    </w:rPr>
  </w:style>
  <w:style w:type="paragraph" w:styleId="xl71">
    <w:name w:val="xl71"/>
    <w:basedOn w:val="Normal"/>
    <w:qFormat/>
    <w:pPr>
      <w:pBdr>
        <w:bottom w:val="double" w:sz="6" w:space="0" w:color="000000"/>
        <w:right w:val="single" w:sz="8" w:space="0" w:color="000000"/>
      </w:pBdr>
      <w:spacing w:before="100" w:after="100"/>
    </w:pPr>
    <w:rPr>
      <w:rFonts w:eastAsia="Arial Unicode MS" w:cs="Arial"/>
      <w:b/>
      <w:bCs/>
      <w:szCs w:val="24"/>
    </w:rPr>
  </w:style>
  <w:style w:type="paragraph" w:styleId="xl72">
    <w:name w:val="xl72"/>
    <w:basedOn w:val="Normal"/>
    <w:qFormat/>
    <w:pPr>
      <w:pBdr>
        <w:bottom w:val="single" w:sz="8" w:space="0" w:color="000000"/>
      </w:pBdr>
      <w:spacing w:before="100" w:after="100"/>
      <w:jc w:val="center"/>
    </w:pPr>
    <w:rPr>
      <w:rFonts w:eastAsia="Arial Unicode MS" w:cs="Arial"/>
      <w:b/>
      <w:bCs/>
      <w:i/>
      <w:iCs/>
      <w:szCs w:val="24"/>
    </w:rPr>
  </w:style>
  <w:style w:type="paragraph" w:styleId="xl73">
    <w:name w:val="xl73"/>
    <w:basedOn w:val="Normal"/>
    <w:qFormat/>
    <w:pPr>
      <w:pBdr>
        <w:left w:val="single" w:sz="8" w:space="0" w:color="000000"/>
        <w:bottom w:val="single" w:sz="4" w:space="0" w:color="000000"/>
      </w:pBdr>
      <w:spacing w:before="100" w:after="100"/>
      <w:jc w:val="center"/>
    </w:pPr>
    <w:rPr>
      <w:rFonts w:eastAsia="Arial Unicode MS" w:cs="Arial"/>
      <w:szCs w:val="24"/>
    </w:rPr>
  </w:style>
  <w:style w:type="paragraph" w:styleId="xl74">
    <w:name w:val="xl74"/>
    <w:basedOn w:val="Normal"/>
    <w:qFormat/>
    <w:pPr>
      <w:pBdr>
        <w:bottom w:val="single" w:sz="4" w:space="0" w:color="000000"/>
      </w:pBdr>
      <w:spacing w:before="100" w:after="100"/>
      <w:jc w:val="center"/>
    </w:pPr>
    <w:rPr>
      <w:rFonts w:eastAsia="Arial Unicode MS" w:cs="Arial"/>
      <w:b/>
      <w:bCs/>
      <w:szCs w:val="24"/>
    </w:rPr>
  </w:style>
  <w:style w:type="paragraph" w:styleId="xl75">
    <w:name w:val="xl75"/>
    <w:basedOn w:val="Normal"/>
    <w:qFormat/>
    <w:pPr>
      <w:pBdr>
        <w:bottom w:val="single" w:sz="4" w:space="0" w:color="000000"/>
        <w:right w:val="single" w:sz="8" w:space="0" w:color="000000"/>
      </w:pBdr>
      <w:spacing w:before="100" w:after="100"/>
    </w:pPr>
    <w:rPr>
      <w:rFonts w:ascii="Arial Unicode MS" w:hAnsi="Arial Unicode MS" w:eastAsia="Arial Unicode MS" w:cs="Arial Unicode MS"/>
      <w:szCs w:val="24"/>
    </w:rPr>
  </w:style>
  <w:style w:type="paragraph" w:styleId="xl76">
    <w:name w:val="xl76"/>
    <w:basedOn w:val="Normal"/>
    <w:qFormat/>
    <w:pPr>
      <w:pBdr>
        <w:left w:val="single" w:sz="8" w:space="0" w:color="000000"/>
        <w:right w:val="single" w:sz="8" w:space="0" w:color="000000"/>
      </w:pBdr>
      <w:spacing w:before="100" w:after="100"/>
      <w:jc w:val="center"/>
    </w:pPr>
    <w:rPr>
      <w:rFonts w:ascii="Arial Unicode MS" w:hAnsi="Arial Unicode MS" w:eastAsia="Arial Unicode MS" w:cs="Arial Unicode MS"/>
      <w:szCs w:val="24"/>
    </w:rPr>
  </w:style>
  <w:style w:type="paragraph" w:styleId="xl77">
    <w:name w:val="xl77"/>
    <w:basedOn w:val="Normal"/>
    <w:qFormat/>
    <w:pPr>
      <w:pBdr>
        <w:left w:val="single" w:sz="8" w:space="0" w:color="000000"/>
        <w:bottom w:val="single" w:sz="4" w:space="0" w:color="000000"/>
        <w:right w:val="single" w:sz="8" w:space="0" w:color="000000"/>
      </w:pBdr>
      <w:spacing w:before="100" w:after="100"/>
      <w:jc w:val="center"/>
    </w:pPr>
    <w:rPr>
      <w:rFonts w:ascii="Arial Unicode MS" w:hAnsi="Arial Unicode MS" w:eastAsia="Arial Unicode MS" w:cs="Arial Unicode MS"/>
      <w:szCs w:val="24"/>
    </w:rPr>
  </w:style>
  <w:style w:type="paragraph" w:styleId="xl78">
    <w:name w:val="xl78"/>
    <w:basedOn w:val="Normal"/>
    <w:qFormat/>
    <w:pPr>
      <w:pBdr>
        <w:left w:val="single" w:sz="8" w:space="0" w:color="000000"/>
        <w:bottom w:val="single" w:sz="4" w:space="0" w:color="000000"/>
        <w:right w:val="single" w:sz="8" w:space="0" w:color="000000"/>
      </w:pBdr>
      <w:spacing w:before="100" w:after="100"/>
      <w:jc w:val="center"/>
    </w:pPr>
    <w:rPr>
      <w:rFonts w:eastAsia="Arial Unicode MS" w:cs="Arial"/>
      <w:b/>
      <w:bCs/>
      <w:szCs w:val="24"/>
    </w:rPr>
  </w:style>
  <w:style w:type="paragraph" w:styleId="xl79">
    <w:name w:val="xl79"/>
    <w:basedOn w:val="Normal"/>
    <w:qFormat/>
    <w:pPr>
      <w:pBdr>
        <w:right w:val="single" w:sz="8" w:space="0" w:color="000000"/>
      </w:pBdr>
      <w:spacing w:before="100" w:after="100"/>
      <w:jc w:val="center"/>
    </w:pPr>
    <w:rPr>
      <w:rFonts w:eastAsia="Arial Unicode MS" w:cs="Arial"/>
      <w:szCs w:val="24"/>
    </w:rPr>
  </w:style>
  <w:style w:type="paragraph" w:styleId="xl80">
    <w:name w:val="xl80"/>
    <w:basedOn w:val="Normal"/>
    <w:qFormat/>
    <w:pPr>
      <w:pBdr>
        <w:left w:val="single" w:sz="8" w:space="0" w:color="000000"/>
        <w:bottom w:val="single" w:sz="4" w:space="0" w:color="000000"/>
      </w:pBdr>
      <w:spacing w:before="100" w:after="100"/>
      <w:jc w:val="center"/>
    </w:pPr>
    <w:rPr>
      <w:rFonts w:ascii="Arial Unicode MS" w:hAnsi="Arial Unicode MS" w:eastAsia="Arial Unicode MS" w:cs="Arial Unicode MS"/>
      <w:szCs w:val="24"/>
    </w:rPr>
  </w:style>
  <w:style w:type="paragraph" w:styleId="xl81">
    <w:name w:val="xl81"/>
    <w:basedOn w:val="Normal"/>
    <w:qFormat/>
    <w:pPr>
      <w:pBdr>
        <w:bottom w:val="single" w:sz="4" w:space="0" w:color="000000"/>
      </w:pBdr>
      <w:spacing w:before="100" w:after="100"/>
      <w:jc w:val="center"/>
    </w:pPr>
    <w:rPr>
      <w:rFonts w:eastAsia="Arial Unicode MS" w:cs="Arial"/>
      <w:szCs w:val="24"/>
    </w:rPr>
  </w:style>
  <w:style w:type="paragraph" w:styleId="xl82">
    <w:name w:val="xl82"/>
    <w:basedOn w:val="Normal"/>
    <w:qFormat/>
    <w:pPr>
      <w:pBdr>
        <w:bottom w:val="single" w:sz="4" w:space="0" w:color="000000"/>
        <w:right w:val="single" w:sz="8" w:space="0" w:color="000000"/>
      </w:pBdr>
      <w:spacing w:before="100" w:after="100"/>
      <w:jc w:val="center"/>
    </w:pPr>
    <w:rPr>
      <w:rFonts w:eastAsia="Arial Unicode MS" w:cs="Arial"/>
      <w:szCs w:val="24"/>
    </w:rPr>
  </w:style>
  <w:style w:type="paragraph" w:styleId="xl83">
    <w:name w:val="xl83"/>
    <w:basedOn w:val="Normal"/>
    <w:qFormat/>
    <w:pPr>
      <w:pBdr>
        <w:top w:val="single" w:sz="8" w:space="0" w:color="000000"/>
        <w:left w:val="single" w:sz="8" w:space="0" w:color="000000"/>
      </w:pBdr>
      <w:spacing w:before="100" w:after="100"/>
    </w:pPr>
    <w:rPr>
      <w:rFonts w:eastAsia="Arial Unicode MS" w:cs="Arial"/>
      <w:b/>
      <w:bCs/>
      <w:i/>
      <w:iCs/>
      <w:sz w:val="16"/>
      <w:szCs w:val="16"/>
    </w:rPr>
  </w:style>
  <w:style w:type="paragraph" w:styleId="xl84">
    <w:name w:val="xl84"/>
    <w:basedOn w:val="Normal"/>
    <w:qFormat/>
    <w:pPr>
      <w:pBdr>
        <w:top w:val="single" w:sz="8" w:space="0" w:color="000000"/>
        <w:right w:val="single" w:sz="8" w:space="0" w:color="000000"/>
      </w:pBdr>
      <w:spacing w:before="100" w:after="100"/>
    </w:pPr>
    <w:rPr>
      <w:rFonts w:eastAsia="Arial Unicode MS" w:cs="Arial"/>
      <w:b/>
      <w:bCs/>
      <w:i/>
      <w:iCs/>
      <w:sz w:val="16"/>
      <w:szCs w:val="16"/>
    </w:rPr>
  </w:style>
  <w:style w:type="paragraph" w:styleId="xl85">
    <w:name w:val="xl85"/>
    <w:basedOn w:val="Normal"/>
    <w:qFormat/>
    <w:pPr>
      <w:pBdr>
        <w:right w:val="single" w:sz="8" w:space="0" w:color="000000"/>
      </w:pBdr>
      <w:spacing w:before="100" w:after="100"/>
      <w:jc w:val="center"/>
    </w:pPr>
    <w:rPr>
      <w:rFonts w:eastAsia="Arial Unicode MS" w:cs="Arial"/>
      <w:b/>
      <w:bCs/>
      <w:color w:val="000080"/>
      <w:szCs w:val="24"/>
    </w:rPr>
  </w:style>
  <w:style w:type="paragraph" w:styleId="xl86">
    <w:name w:val="xl86"/>
    <w:basedOn w:val="Normal"/>
    <w:qFormat/>
    <w:pPr>
      <w:pBdr>
        <w:left w:val="single" w:sz="8" w:space="0" w:color="000000"/>
        <w:bottom w:val="single" w:sz="8" w:space="0" w:color="000000"/>
      </w:pBdr>
      <w:spacing w:before="100" w:after="100"/>
      <w:jc w:val="center"/>
    </w:pPr>
    <w:rPr>
      <w:rFonts w:eastAsia="Arial Unicode MS" w:cs="Arial"/>
      <w:b/>
      <w:bCs/>
      <w:i/>
      <w:iCs/>
      <w:szCs w:val="24"/>
    </w:rPr>
  </w:style>
  <w:style w:type="paragraph" w:styleId="xl87">
    <w:name w:val="xl87"/>
    <w:basedOn w:val="Normal"/>
    <w:qFormat/>
    <w:pPr>
      <w:pBdr>
        <w:bottom w:val="single" w:sz="8" w:space="0" w:color="000000"/>
        <w:right w:val="single" w:sz="8" w:space="0" w:color="000000"/>
      </w:pBdr>
      <w:spacing w:before="100" w:after="100"/>
      <w:jc w:val="center"/>
    </w:pPr>
    <w:rPr>
      <w:rFonts w:eastAsia="Arial Unicode MS" w:cs="Arial"/>
      <w:b/>
      <w:bCs/>
      <w:i/>
      <w:iCs/>
      <w:szCs w:val="24"/>
    </w:rPr>
  </w:style>
  <w:style w:type="paragraph" w:styleId="xl88">
    <w:name w:val="xl88"/>
    <w:basedOn w:val="Normal"/>
    <w:qFormat/>
    <w:pPr>
      <w:pBdr>
        <w:top w:val="single" w:sz="8" w:space="0" w:color="000000"/>
        <w:left w:val="single" w:sz="8" w:space="0" w:color="000000"/>
      </w:pBdr>
      <w:spacing w:before="100" w:after="100"/>
      <w:jc w:val="center"/>
    </w:pPr>
    <w:rPr>
      <w:rFonts w:ascii="Arial Unicode MS" w:hAnsi="Arial Unicode MS" w:eastAsia="Arial Unicode MS" w:cs="Arial Unicode MS"/>
      <w:szCs w:val="24"/>
    </w:rPr>
  </w:style>
  <w:style w:type="paragraph" w:styleId="xl89">
    <w:name w:val="xl89"/>
    <w:basedOn w:val="Normal"/>
    <w:qFormat/>
    <w:pPr>
      <w:pBdr>
        <w:top w:val="single" w:sz="8" w:space="0" w:color="000000"/>
      </w:pBdr>
      <w:spacing w:before="100" w:after="100"/>
      <w:jc w:val="center"/>
    </w:pPr>
    <w:rPr>
      <w:rFonts w:eastAsia="Arial Unicode MS" w:cs="Arial"/>
      <w:szCs w:val="24"/>
    </w:rPr>
  </w:style>
  <w:style w:type="paragraph" w:styleId="xl90">
    <w:name w:val="xl90"/>
    <w:basedOn w:val="Normal"/>
    <w:qFormat/>
    <w:pPr>
      <w:pBdr>
        <w:top w:val="single" w:sz="8" w:space="0" w:color="000000"/>
        <w:right w:val="single" w:sz="8" w:space="0" w:color="000000"/>
      </w:pBdr>
      <w:spacing w:before="100" w:after="100"/>
      <w:jc w:val="center"/>
    </w:pPr>
    <w:rPr>
      <w:rFonts w:eastAsia="Arial Unicode MS" w:cs="Arial"/>
      <w:szCs w:val="24"/>
    </w:rPr>
  </w:style>
  <w:style w:type="paragraph" w:styleId="xl91">
    <w:name w:val="xl91"/>
    <w:basedOn w:val="Normal"/>
    <w:qFormat/>
    <w:pPr>
      <w:pBdr>
        <w:top w:val="single" w:sz="8" w:space="0" w:color="000000"/>
        <w:right w:val="single" w:sz="4" w:space="0" w:color="000000"/>
      </w:pBdr>
      <w:spacing w:before="100" w:after="100"/>
    </w:pPr>
    <w:rPr>
      <w:rFonts w:eastAsia="Arial Unicode MS" w:cs="Arial"/>
      <w:b/>
      <w:bCs/>
      <w:i/>
      <w:iCs/>
      <w:sz w:val="16"/>
      <w:szCs w:val="16"/>
    </w:rPr>
  </w:style>
  <w:style w:type="paragraph" w:styleId="xl92">
    <w:name w:val="xl92"/>
    <w:basedOn w:val="Normal"/>
    <w:qFormat/>
    <w:pPr>
      <w:pBdr>
        <w:top w:val="single" w:sz="8" w:space="0" w:color="000000"/>
        <w:left w:val="single" w:sz="4" w:space="0" w:color="000000"/>
      </w:pBdr>
      <w:spacing w:before="100" w:after="100"/>
    </w:pPr>
    <w:rPr>
      <w:rFonts w:eastAsia="Arial Unicode MS" w:cs="Arial"/>
      <w:b/>
      <w:bCs/>
      <w:i/>
      <w:iCs/>
      <w:sz w:val="16"/>
      <w:szCs w:val="16"/>
    </w:rPr>
  </w:style>
  <w:style w:type="paragraph" w:styleId="xl93">
    <w:name w:val="xl93"/>
    <w:basedOn w:val="Normal"/>
    <w:qFormat/>
    <w:pPr>
      <w:pBdr>
        <w:right w:val="single" w:sz="4" w:space="0" w:color="000000"/>
      </w:pBdr>
      <w:spacing w:before="100" w:after="100"/>
      <w:jc w:val="center"/>
    </w:pPr>
    <w:rPr>
      <w:rFonts w:eastAsia="Arial Unicode MS" w:cs="Arial"/>
      <w:b/>
      <w:bCs/>
      <w:color w:val="000080"/>
      <w:szCs w:val="24"/>
    </w:rPr>
  </w:style>
  <w:style w:type="paragraph" w:styleId="xl94">
    <w:name w:val="xl94"/>
    <w:basedOn w:val="Normal"/>
    <w:qFormat/>
    <w:pPr>
      <w:pBdr>
        <w:left w:val="single" w:sz="4" w:space="0" w:color="000000"/>
      </w:pBdr>
      <w:spacing w:before="100" w:after="100"/>
      <w:jc w:val="center"/>
    </w:pPr>
    <w:rPr>
      <w:rFonts w:eastAsia="Arial Unicode MS" w:cs="Arial"/>
      <w:b/>
      <w:bCs/>
      <w:color w:val="000080"/>
      <w:szCs w:val="24"/>
    </w:rPr>
  </w:style>
  <w:style w:type="paragraph" w:styleId="xl95">
    <w:name w:val="xl95"/>
    <w:basedOn w:val="Normal"/>
    <w:qFormat/>
    <w:pPr>
      <w:pBdr>
        <w:bottom w:val="single" w:sz="8" w:space="0" w:color="000000"/>
        <w:right w:val="single" w:sz="4" w:space="0" w:color="000000"/>
      </w:pBdr>
      <w:spacing w:before="100" w:after="100"/>
      <w:jc w:val="center"/>
    </w:pPr>
    <w:rPr>
      <w:rFonts w:eastAsia="Arial Unicode MS" w:cs="Arial"/>
      <w:b/>
      <w:bCs/>
      <w:i/>
      <w:iCs/>
      <w:szCs w:val="24"/>
    </w:rPr>
  </w:style>
  <w:style w:type="paragraph" w:styleId="xl96">
    <w:name w:val="xl96"/>
    <w:basedOn w:val="Normal"/>
    <w:qFormat/>
    <w:pPr>
      <w:pBdr>
        <w:left w:val="single" w:sz="4" w:space="0" w:color="000000"/>
        <w:bottom w:val="single" w:sz="8" w:space="0" w:color="000000"/>
      </w:pBdr>
      <w:spacing w:before="100" w:after="100"/>
      <w:jc w:val="center"/>
    </w:pPr>
    <w:rPr>
      <w:rFonts w:eastAsia="Arial Unicode MS" w:cs="Arial"/>
      <w:b/>
      <w:bCs/>
      <w:i/>
      <w:iCs/>
      <w:szCs w:val="24"/>
    </w:rPr>
  </w:style>
  <w:style w:type="paragraph" w:styleId="xl97">
    <w:name w:val="xl97"/>
    <w:basedOn w:val="Normal"/>
    <w:qFormat/>
    <w:pPr>
      <w:pBdr>
        <w:top w:val="single" w:sz="8" w:space="0" w:color="000000"/>
        <w:right w:val="single" w:sz="4" w:space="0" w:color="000000"/>
      </w:pBdr>
      <w:spacing w:before="100" w:after="100"/>
      <w:jc w:val="center"/>
    </w:pPr>
    <w:rPr>
      <w:rFonts w:eastAsia="Arial Unicode MS" w:cs="Arial"/>
      <w:szCs w:val="24"/>
    </w:rPr>
  </w:style>
  <w:style w:type="paragraph" w:styleId="xl98">
    <w:name w:val="xl98"/>
    <w:basedOn w:val="Normal"/>
    <w:qFormat/>
    <w:pPr>
      <w:pBdr>
        <w:top w:val="single" w:sz="8" w:space="0" w:color="000000"/>
        <w:left w:val="single" w:sz="4" w:space="0" w:color="000000"/>
      </w:pBdr>
      <w:spacing w:before="100" w:after="100"/>
      <w:jc w:val="center"/>
    </w:pPr>
    <w:rPr>
      <w:rFonts w:eastAsia="Arial Unicode MS" w:cs="Arial"/>
      <w:szCs w:val="24"/>
    </w:rPr>
  </w:style>
  <w:style w:type="paragraph" w:styleId="xl99">
    <w:name w:val="xl99"/>
    <w:basedOn w:val="Normal"/>
    <w:qFormat/>
    <w:pPr>
      <w:pBdr>
        <w:right w:val="single" w:sz="4" w:space="0" w:color="000000"/>
      </w:pBdr>
      <w:spacing w:before="100" w:after="100"/>
      <w:jc w:val="center"/>
    </w:pPr>
    <w:rPr>
      <w:rFonts w:eastAsia="Arial Unicode MS" w:cs="Arial"/>
      <w:szCs w:val="24"/>
    </w:rPr>
  </w:style>
  <w:style w:type="paragraph" w:styleId="xl100">
    <w:name w:val="xl100"/>
    <w:basedOn w:val="Normal"/>
    <w:qFormat/>
    <w:pPr>
      <w:pBdr>
        <w:left w:val="single" w:sz="4" w:space="0" w:color="000000"/>
      </w:pBdr>
      <w:spacing w:before="100" w:after="100"/>
      <w:jc w:val="center"/>
    </w:pPr>
    <w:rPr>
      <w:rFonts w:eastAsia="Arial Unicode MS" w:cs="Arial"/>
      <w:szCs w:val="24"/>
    </w:rPr>
  </w:style>
  <w:style w:type="paragraph" w:styleId="xl101">
    <w:name w:val="xl101"/>
    <w:basedOn w:val="Normal"/>
    <w:qFormat/>
    <w:pPr>
      <w:pBdr>
        <w:bottom w:val="single" w:sz="4" w:space="0" w:color="000000"/>
        <w:right w:val="single" w:sz="4" w:space="0" w:color="000000"/>
      </w:pBdr>
      <w:spacing w:before="100" w:after="100"/>
      <w:jc w:val="center"/>
    </w:pPr>
    <w:rPr>
      <w:rFonts w:eastAsia="Arial Unicode MS" w:cs="Arial"/>
      <w:szCs w:val="24"/>
    </w:rPr>
  </w:style>
  <w:style w:type="paragraph" w:styleId="xl102">
    <w:name w:val="xl102"/>
    <w:basedOn w:val="Normal"/>
    <w:qFormat/>
    <w:pPr>
      <w:pBdr>
        <w:left w:val="single" w:sz="4" w:space="0" w:color="000000"/>
        <w:bottom w:val="single" w:sz="4" w:space="0" w:color="000000"/>
      </w:pBdr>
      <w:spacing w:before="100" w:after="100"/>
      <w:jc w:val="center"/>
    </w:pPr>
    <w:rPr>
      <w:rFonts w:eastAsia="Arial Unicode MS" w:cs="Arial"/>
      <w:szCs w:val="24"/>
    </w:rPr>
  </w:style>
  <w:style w:type="paragraph" w:styleId="xl103">
    <w:name w:val="xl103"/>
    <w:basedOn w:val="Normal"/>
    <w:qFormat/>
    <w:pPr>
      <w:pBdr>
        <w:top w:val="single" w:sz="4" w:space="0" w:color="000000"/>
        <w:bottom w:val="double" w:sz="6" w:space="0" w:color="000000"/>
        <w:right w:val="single" w:sz="4" w:space="0" w:color="000000"/>
      </w:pBdr>
      <w:spacing w:before="100" w:after="100"/>
      <w:jc w:val="center"/>
    </w:pPr>
    <w:rPr>
      <w:rFonts w:eastAsia="Arial Unicode MS" w:cs="Arial"/>
      <w:szCs w:val="24"/>
    </w:rPr>
  </w:style>
  <w:style w:type="paragraph" w:styleId="xl104">
    <w:name w:val="xl104"/>
    <w:basedOn w:val="Normal"/>
    <w:qFormat/>
    <w:pPr>
      <w:pBdr>
        <w:top w:val="single" w:sz="4" w:space="0" w:color="000000"/>
        <w:left w:val="single" w:sz="4" w:space="0" w:color="000000"/>
        <w:bottom w:val="double" w:sz="6" w:space="0" w:color="000000"/>
      </w:pBdr>
      <w:spacing w:before="100" w:after="100"/>
      <w:jc w:val="center"/>
    </w:pPr>
    <w:rPr>
      <w:rFonts w:eastAsia="Arial Unicode MS" w:cs="Arial"/>
      <w:szCs w:val="24"/>
    </w:rPr>
  </w:style>
  <w:style w:type="paragraph" w:styleId="xl105">
    <w:name w:val="xl105"/>
    <w:basedOn w:val="Normal"/>
    <w:qFormat/>
    <w:pPr>
      <w:pBdr>
        <w:top w:val="single" w:sz="8" w:space="0" w:color="000000"/>
        <w:left w:val="single" w:sz="4" w:space="0" w:color="000000"/>
        <w:bottom w:val="single" w:sz="4" w:space="0" w:color="000000"/>
      </w:pBdr>
      <w:spacing w:before="100" w:after="100"/>
    </w:pPr>
    <w:rPr>
      <w:rFonts w:eastAsia="Arial Unicode MS" w:cs="Arial"/>
      <w:b/>
      <w:bCs/>
      <w:i/>
      <w:iCs/>
      <w:sz w:val="16"/>
      <w:szCs w:val="16"/>
    </w:rPr>
  </w:style>
  <w:style w:type="paragraph" w:styleId="xl106">
    <w:name w:val="xl106"/>
    <w:basedOn w:val="Normal"/>
    <w:qFormat/>
    <w:pPr>
      <w:pBdr>
        <w:top w:val="single" w:sz="8" w:space="0" w:color="000000"/>
        <w:bottom w:val="single" w:sz="4" w:space="0" w:color="000000"/>
      </w:pBdr>
      <w:spacing w:before="100" w:after="100"/>
    </w:pPr>
    <w:rPr>
      <w:rFonts w:eastAsia="Arial Unicode MS" w:cs="Arial"/>
      <w:b/>
      <w:bCs/>
      <w:i/>
      <w:iCs/>
      <w:sz w:val="16"/>
      <w:szCs w:val="16"/>
    </w:rPr>
  </w:style>
  <w:style w:type="paragraph" w:styleId="xl107">
    <w:name w:val="xl107"/>
    <w:basedOn w:val="Normal"/>
    <w:qFormat/>
    <w:pPr>
      <w:pBdr>
        <w:top w:val="single" w:sz="8" w:space="0" w:color="000000"/>
        <w:bottom w:val="single" w:sz="4" w:space="0" w:color="000000"/>
        <w:right w:val="single" w:sz="4" w:space="0" w:color="000000"/>
      </w:pBdr>
      <w:spacing w:before="100" w:after="100"/>
    </w:pPr>
    <w:rPr>
      <w:rFonts w:eastAsia="Arial Unicode MS" w:cs="Arial"/>
      <w:b/>
      <w:bCs/>
      <w:i/>
      <w:iCs/>
      <w:sz w:val="16"/>
      <w:szCs w:val="16"/>
    </w:rPr>
  </w:style>
  <w:style w:type="paragraph" w:styleId="xl108">
    <w:name w:val="xl108"/>
    <w:basedOn w:val="Normal"/>
    <w:qFormat/>
    <w:pPr>
      <w:pBdr>
        <w:top w:val="single" w:sz="8" w:space="0" w:color="000000"/>
        <w:bottom w:val="single" w:sz="4" w:space="0" w:color="000000"/>
      </w:pBdr>
      <w:spacing w:before="100" w:after="100"/>
      <w:jc w:val="center"/>
    </w:pPr>
    <w:rPr>
      <w:rFonts w:eastAsia="Arial Unicode MS" w:cs="Arial"/>
      <w:b/>
      <w:bCs/>
      <w:color w:val="000080"/>
      <w:szCs w:val="24"/>
    </w:rPr>
  </w:style>
  <w:style w:type="paragraph" w:styleId="xl109">
    <w:name w:val="xl109"/>
    <w:basedOn w:val="Normal"/>
    <w:qFormat/>
    <w:pPr>
      <w:spacing w:before="100" w:after="100"/>
    </w:pPr>
    <w:rPr>
      <w:rFonts w:eastAsia="Arial Unicode MS" w:cs="Arial"/>
      <w:b/>
      <w:bCs/>
      <w:szCs w:val="24"/>
      <w:u w:val="single"/>
    </w:rPr>
  </w:style>
  <w:style w:type="paragraph" w:styleId="xl110">
    <w:name w:val="xl110"/>
    <w:basedOn w:val="Normal"/>
    <w:qFormat/>
    <w:pPr>
      <w:spacing w:before="100" w:after="100"/>
      <w:jc w:val="center"/>
    </w:pPr>
    <w:rPr>
      <w:rFonts w:eastAsia="Arial Unicode MS" w:cs="Arial"/>
      <w:b/>
      <w:bCs/>
      <w:szCs w:val="24"/>
    </w:rPr>
  </w:style>
  <w:style w:type="paragraph" w:styleId="xl111">
    <w:name w:val="xl111"/>
    <w:basedOn w:val="Normal"/>
    <w:qFormat/>
    <w:pPr>
      <w:spacing w:before="100" w:after="100"/>
      <w:jc w:val="center"/>
    </w:pPr>
    <w:rPr>
      <w:rFonts w:ascii="Arial Unicode MS" w:hAnsi="Arial Unicode MS" w:eastAsia="Arial Unicode MS" w:cs="Arial Unicode MS"/>
      <w:szCs w:val="24"/>
    </w:rPr>
  </w:style>
  <w:style w:type="paragraph" w:styleId="xl112">
    <w:name w:val="xl112"/>
    <w:basedOn w:val="Normal"/>
    <w:qFormat/>
    <w:pPr>
      <w:spacing w:before="100" w:after="100"/>
    </w:pPr>
    <w:rPr>
      <w:rFonts w:eastAsia="Arial Unicode MS" w:cs="Arial"/>
      <w:szCs w:val="24"/>
    </w:rPr>
  </w:style>
  <w:style w:type="paragraph" w:styleId="xl113">
    <w:name w:val="xl113"/>
    <w:basedOn w:val="Normal"/>
    <w:qFormat/>
    <w:pPr>
      <w:spacing w:before="100" w:after="100"/>
      <w:jc w:val="end"/>
    </w:pPr>
    <w:rPr>
      <w:rFonts w:ascii="Arial Unicode MS" w:hAnsi="Arial Unicode MS" w:eastAsia="Arial Unicode MS" w:cs="Arial Unicode MS"/>
      <w:szCs w:val="24"/>
    </w:rPr>
  </w:style>
  <w:style w:type="paragraph" w:styleId="xl114">
    <w:name w:val="xl114"/>
    <w:basedOn w:val="Normal"/>
    <w:qFormat/>
    <w:pPr>
      <w:spacing w:before="100" w:after="100"/>
    </w:pPr>
    <w:rPr>
      <w:rFonts w:eastAsia="Arial Unicode MS" w:cs="Arial"/>
      <w:szCs w:val="24"/>
    </w:rPr>
  </w:style>
  <w:style w:type="paragraph" w:styleId="xl115">
    <w:name w:val="xl115"/>
    <w:basedOn w:val="Normal"/>
    <w:qFormat/>
    <w:pPr>
      <w:spacing w:before="100" w:after="100"/>
      <w:jc w:val="end"/>
    </w:pPr>
    <w:rPr>
      <w:rFonts w:eastAsia="Arial Unicode MS" w:cs="Arial"/>
      <w:b/>
      <w:bCs/>
      <w:szCs w:val="24"/>
    </w:rPr>
  </w:style>
  <w:style w:type="paragraph" w:styleId="xl116">
    <w:name w:val="xl116"/>
    <w:basedOn w:val="Normal"/>
    <w:qFormat/>
    <w:pPr>
      <w:spacing w:before="100" w:after="100"/>
    </w:pPr>
    <w:rPr>
      <w:rFonts w:eastAsia="Arial Unicode MS" w:cs="Arial"/>
      <w:b/>
      <w:bCs/>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2001-12-19T11:27:00Z</dcterms:created>
  <dc:creator>eecc</dc:creator>
  <dc:description/>
  <dc:language>en-CA</dc:language>
  <cp:lastModifiedBy>aeisens</cp:lastModifiedBy>
  <cp:lastPrinted>2001-12-19T09:34:00Z</cp:lastPrinted>
  <dcterms:modified xsi:type="dcterms:W3CDTF">2001-12-20T20:14:00Z</dcterms:modified>
  <cp:revision>9</cp:revision>
  <dc:subject/>
  <dc:title>To: Jerry D Martin/ENRON@enronXgate</dc:title>
</cp:coreProperties>
</file>