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Helv;Arial" w:hAnsi="Helv;Arial" w:cs="Helv;Arial"/>
          <w:sz w:val="28"/>
        </w:rPr>
      </w:pPr>
      <w:r>
        <w:rPr>
          <w:rFonts w:cs="Helv;Arial" w:ascii="Helv;Arial" w:hAnsi="Helv;Arial"/>
          <w:sz w:val="28"/>
        </w:rPr>
        <w:t>RED ROCK PROJECT WEEKLY REPORT (ENRON INTERNAL)</w:t>
      </w:r>
    </w:p>
    <w:p>
      <w:pPr>
        <w:pStyle w:val="Heading1"/>
        <w:ind w:hanging="0" w:start="0"/>
        <w:rPr>
          <w:sz w:val="20"/>
        </w:rPr>
      </w:pPr>
      <w:r>
        <w:rPr/>
        <w:t>WEEK ENDING – February 21, 2002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ACTIVITIES:</w:t>
      </w:r>
    </w:p>
    <w:p>
      <w:pPr>
        <w:pStyle w:val="Normal"/>
        <w:ind w:start="360" w:end="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5"/>
        </w:numPr>
        <w:jc w:val="both"/>
        <w:rPr>
          <w:b/>
          <w:bCs/>
          <w:sz w:val="20"/>
        </w:rPr>
      </w:pPr>
      <w:r>
        <w:rPr>
          <w:sz w:val="20"/>
        </w:rPr>
        <w:t>Third unit did ship from Italy last week and should arrive at the Port of Houston in roughly three weeks.</w:t>
      </w:r>
    </w:p>
    <w:p>
      <w:pPr>
        <w:pStyle w:val="Normal"/>
        <w:numPr>
          <w:ilvl w:val="0"/>
          <w:numId w:val="5"/>
        </w:numPr>
        <w:jc w:val="both"/>
        <w:rPr>
          <w:b/>
          <w:bCs/>
          <w:sz w:val="20"/>
        </w:rPr>
      </w:pPr>
      <w:r>
        <w:rPr>
          <w:sz w:val="20"/>
        </w:rPr>
        <w:t>NP rep continues to support activities at Stations 1 &amp; 2.</w:t>
      </w:r>
    </w:p>
    <w:p>
      <w:pPr>
        <w:pStyle w:val="Normal"/>
        <w:numPr>
          <w:ilvl w:val="0"/>
          <w:numId w:val="5"/>
        </w:numPr>
        <w:jc w:val="both"/>
        <w:rPr>
          <w:b/>
          <w:bCs/>
          <w:sz w:val="20"/>
        </w:rPr>
      </w:pPr>
      <w:r>
        <w:rPr>
          <w:sz w:val="20"/>
        </w:rPr>
        <w:t>Arnold &amp; Lisa went to GEA Rainey in Tulsa to expedite and resolve issues surrounding the Gas Coolers.  Third unit delivery was improved one month.</w:t>
      </w:r>
    </w:p>
    <w:p>
      <w:pPr>
        <w:pStyle w:val="Normal"/>
        <w:numPr>
          <w:ilvl w:val="0"/>
          <w:numId w:val="5"/>
        </w:numPr>
        <w:jc w:val="both"/>
        <w:rPr>
          <w:b/>
          <w:bCs/>
          <w:sz w:val="20"/>
        </w:rPr>
      </w:pPr>
      <w:r>
        <w:rPr>
          <w:sz w:val="20"/>
        </w:rPr>
        <w:t>Continue to expedite telephone &amp; communications issues at sites.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Monitoring Station 4 Overhaul schedule with Optimization &amp; Planning.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Meter Run material was shipped to PECO from Station 2.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Station 1 – Continue excavating and concrete foundation activities. Grouting of sole plates on compressor/turbine skids. The loop line tie-in point is out of square with the main line, and will be corrected by rolling and/or pushing the line; can also make adjustments at the tie-in locations with additional fittings. Excavation of the line continues as conditions allow. 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Station 2 – Continue civil excavation, foundation and backfill activities on the Compressor, Cooler and miscellaneous foundations.  Started rubbing down all foundations that have been poured.  Started pre-alignment of Compressor and Turbine.  Fabricating 36” unit suction &amp; discharge, 16” recycle, and 6” blow down piping.  Continue U/G conduit placement and backfill around the PCR and Generator Buildings.  Start grounding at Compressor Building and continued PCR grounding.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Station 3 – Continue civil activities on Compressor, Cooler, Tank Area, PCR, and Generator Building foundations.  Placed first lift (597CY) of compressor foundation.  Compressor foundation is scheduled to be complete on 2/21/02.  Completed both Scrubber foundations.  All fabrication has been completed at F&amp;B Yard and received at site.  Continue fabrication of available pipe at site.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jc w:val="both"/>
        <w:rPr>
          <w:b/>
          <w:bCs/>
          <w:sz w:val="20"/>
        </w:rPr>
      </w:pPr>
      <w:r>
        <w:rPr>
          <w:b/>
          <w:bCs/>
          <w:sz w:val="20"/>
          <w:u w:val="single"/>
        </w:rPr>
        <w:t>OBJECTIVES FOR NEXT WEEK</w:t>
      </w:r>
      <w:r>
        <w:rPr>
          <w:b/>
          <w:bCs/>
          <w:sz w:val="20"/>
        </w:rPr>
        <w:t xml:space="preserve">: </w:t>
      </w:r>
    </w:p>
    <w:p>
      <w:pPr>
        <w:pStyle w:val="Normal"/>
        <w:jc w:val="both"/>
        <w:rPr>
          <w:b/>
          <w:bCs/>
          <w:sz w:val="20"/>
          <w:highlight w:val="yellow"/>
        </w:rPr>
      </w:pPr>
      <w:r>
        <w:rPr>
          <w:b/>
          <w:bCs/>
          <w:sz w:val="20"/>
          <w:highlight w:val="yellow"/>
        </w:rPr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Negotiate and issue payments to vendors as required to maintain project schedule.</w:t>
      </w:r>
    </w:p>
    <w:p>
      <w:pPr>
        <w:pStyle w:val="Normal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Larry Campbell to set up an Environmental training kick off meeting at each site.</w:t>
      </w:r>
    </w:p>
    <w:p>
      <w:pPr>
        <w:pStyle w:val="Normal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Environmental Training videos have been located and videos will be forwarded to each site.</w:t>
      </w:r>
    </w:p>
    <w:p>
      <w:pPr>
        <w:pStyle w:val="Normal"/>
        <w:jc w:val="both"/>
        <w:rPr>
          <w:rFonts w:eastAsia="Arial"/>
          <w:sz w:val="20"/>
        </w:rPr>
      </w:pPr>
      <w:r>
        <w:rPr>
          <w:rFonts w:eastAsia="Arial"/>
          <w:sz w:val="20"/>
        </w:rPr>
        <w:t xml:space="preserve"> </w:t>
      </w:r>
    </w:p>
    <w:p>
      <w:pPr>
        <w:pStyle w:val="Normal"/>
        <w:numPr>
          <w:ilvl w:val="0"/>
          <w:numId w:val="4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AREAS OF CONCERN:</w:t>
      </w:r>
    </w:p>
    <w:p>
      <w:pPr>
        <w:pStyle w:val="Normal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b/>
          <w:bCs/>
          <w:sz w:val="20"/>
        </w:rPr>
      </w:pPr>
      <w:r>
        <w:rPr>
          <w:b/>
          <w:bCs/>
          <w:sz w:val="20"/>
        </w:rPr>
        <w:t>In service Dates :</w:t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numPr>
          <w:ilvl w:val="1"/>
          <w:numId w:val="2"/>
        </w:numPr>
        <w:jc w:val="both"/>
        <w:rPr>
          <w:b/>
          <w:bCs/>
          <w:sz w:val="20"/>
        </w:rPr>
      </w:pPr>
      <w:r>
        <w:rPr>
          <w:rFonts w:cs="Arial"/>
          <w:b/>
          <w:bCs/>
          <w:sz w:val="20"/>
        </w:rPr>
        <w:t>Stations 1 &amp; 2: June 15, 2002</w:t>
      </w:r>
    </w:p>
    <w:p>
      <w:pPr>
        <w:pStyle w:val="Normal"/>
        <w:numPr>
          <w:ilvl w:val="1"/>
          <w:numId w:val="2"/>
        </w:numPr>
        <w:jc w:val="both"/>
        <w:rPr>
          <w:b/>
          <w:bCs/>
          <w:sz w:val="20"/>
        </w:rPr>
      </w:pPr>
      <w:r>
        <w:rPr>
          <w:rFonts w:cs="Arial"/>
          <w:b/>
          <w:bCs/>
          <w:sz w:val="20"/>
        </w:rPr>
        <w:t>Station 3: July 15, 2002.  Slipped two weeks based on firm Cooler delivery date of May 31, 2002 not supporting Construction need date of 3/1/02.  Working with Vendor to try and improve Station 3 to 4/1/02, which is current ship date for Stations 1 &amp; 2.</w:t>
      </w:r>
    </w:p>
    <w:p>
      <w:pPr>
        <w:pStyle w:val="Normal"/>
        <w:ind w:start="720" w:end="0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numPr>
          <w:ilvl w:val="0"/>
          <w:numId w:val="2"/>
        </w:numPr>
        <w:jc w:val="both"/>
        <w:rPr>
          <w:b/>
          <w:bCs/>
          <w:sz w:val="20"/>
        </w:rPr>
      </w:pPr>
      <w:r>
        <w:rPr>
          <w:b/>
          <w:bCs/>
          <w:sz w:val="20"/>
        </w:rPr>
        <w:t>Current Schedule Issues</w:t>
      </w:r>
    </w:p>
    <w:p>
      <w:pPr>
        <w:pStyle w:val="Normal"/>
        <w:numPr>
          <w:ilvl w:val="1"/>
          <w:numId w:val="2"/>
        </w:numPr>
        <w:jc w:val="both"/>
        <w:rPr>
          <w:sz w:val="20"/>
        </w:rPr>
      </w:pPr>
      <w:r>
        <w:rPr>
          <w:b/>
          <w:bCs/>
          <w:sz w:val="20"/>
          <w:u w:val="single"/>
        </w:rPr>
        <w:t>GEA Rainey Gas Coolers</w:t>
      </w:r>
      <w:r>
        <w:rPr>
          <w:sz w:val="20"/>
        </w:rPr>
        <w:t xml:space="preserve"> – </w:t>
      </w:r>
      <w:r>
        <w:rPr>
          <w:b/>
          <w:bCs/>
          <w:color w:val="FF0000"/>
          <w:sz w:val="20"/>
        </w:rPr>
        <w:t>(CRITICAL ITEM)</w:t>
      </w:r>
      <w:r>
        <w:rPr>
          <w:sz w:val="20"/>
        </w:rPr>
        <w:t xml:space="preserve"> Need date at all three Stations is 3/1/02.  Station 1 &amp; 2 delivery is currently mid March and Station 3 is end of April. Rainey will try to improve Station 3 deliveries, and will look at partial shipments as individual coolers are completed.</w:t>
      </w:r>
    </w:p>
    <w:p>
      <w:pPr>
        <w:pStyle w:val="Normal"/>
        <w:numPr>
          <w:ilvl w:val="1"/>
          <w:numId w:val="2"/>
        </w:numPr>
        <w:jc w:val="both"/>
        <w:rPr>
          <w:b/>
          <w:bCs/>
          <w:i/>
          <w:i/>
          <w:iCs/>
          <w:sz w:val="20"/>
        </w:rPr>
      </w:pPr>
      <w:r>
        <w:rPr>
          <w:b/>
          <w:bCs/>
          <w:sz w:val="20"/>
          <w:u w:val="single"/>
        </w:rPr>
        <w:t xml:space="preserve">Markham 36” Check Valves </w:t>
      </w:r>
      <w:r>
        <w:rPr>
          <w:sz w:val="20"/>
        </w:rPr>
        <w:t>–  All three valves should have shipped on February 15</w:t>
      </w:r>
      <w:r>
        <w:rPr>
          <w:sz w:val="20"/>
          <w:vertAlign w:val="superscript"/>
        </w:rPr>
        <w:t xml:space="preserve">th </w:t>
      </w:r>
      <w:r>
        <w:rPr>
          <w:sz w:val="20"/>
        </w:rPr>
        <w:t>with a mid-March delivery to site.  Current ship date is now February 22</w:t>
      </w:r>
      <w:r>
        <w:rPr>
          <w:sz w:val="20"/>
          <w:vertAlign w:val="superscript"/>
        </w:rPr>
        <w:t>nd</w:t>
      </w:r>
      <w:r>
        <w:rPr>
          <w:sz w:val="20"/>
        </w:rPr>
        <w:t>, an additional one week slip. Wire transfer was sent on 2/14/02 to Germany, and we are waiting on a response to confirm receipt and an actual ship date.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b/>
          <w:bCs/>
          <w:sz w:val="20"/>
          <w:u w:val="single"/>
        </w:rPr>
        <w:t xml:space="preserve">Taylor Forge </w:t>
      </w:r>
      <w:r>
        <w:rPr>
          <w:sz w:val="20"/>
        </w:rPr>
        <w:t xml:space="preserve">– </w:t>
      </w:r>
      <w:r>
        <w:rPr>
          <w:rFonts w:cs="Arial"/>
          <w:sz w:val="20"/>
        </w:rPr>
        <w:t xml:space="preserve">TF has changed up the priority list, but engineering reviewed it and approved.  Ex-Works dates are as follows: Station 1 - 3/15 &amp; 3/29, Station 2 - 3/1 &amp; 3/22, and Station 3 – 3/8 &amp; 4/5.  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 xml:space="preserve">Perry Equipment </w:t>
      </w:r>
      <w:r>
        <w:rPr>
          <w:rFonts w:cs="Arial"/>
          <w:sz w:val="20"/>
        </w:rPr>
        <w:t>– Station 1 &amp; 2 scrubbers and auxiliaries are on site.  Station 3 will ship in two partial shipments, one on 2/22/02 and the other on 2/28/02.  Due to the meter runs arriving on 2/15/02, the ship dates on the Fuel Gas Skids slipped 8 days to 2/28/02.  The Domestic Gas skids are still scheduled to ship on 3/26/02.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 xml:space="preserve">Daniel </w:t>
      </w:r>
      <w:r>
        <w:rPr>
          <w:rFonts w:cs="Arial"/>
          <w:sz w:val="20"/>
        </w:rPr>
        <w:t>– Gas Chromatograph was put on hold without notification from vendor.  Resolving pre-payment issues.  Need date on site is April 1, 2002 and current ship date is 2/28/02, which is acceptable.  Operations will install.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 xml:space="preserve">Airdyne </w:t>
      </w:r>
      <w:r>
        <w:rPr>
          <w:rFonts w:cs="Arial"/>
          <w:sz w:val="20"/>
        </w:rPr>
        <w:t>– Vendor has cancelled all Enron Orders without notice.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 xml:space="preserve">Danmar </w:t>
      </w:r>
      <w:r>
        <w:rPr>
          <w:rFonts w:cs="Arial"/>
          <w:sz w:val="20"/>
        </w:rPr>
        <w:t>– New supplier for the air compressor/dryer assemblies.  Quote was 10 weeks from 2/7/02.  Danmar talked to IR on 2/15/02 and will now commit to an 8 week delivery, but push for 6 weeks.  Ben Giusti, previous Airdyne salesman, has accepted a position with Danmar and will work our order.  Ben will get drawings to Byron by 2/21/02.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 xml:space="preserve">Burgess Manning </w:t>
      </w:r>
      <w:r>
        <w:rPr>
          <w:rFonts w:cs="Arial"/>
          <w:sz w:val="20"/>
        </w:rPr>
        <w:t xml:space="preserve">– Silencers and scrubbers for all three sites are ready to ship and shipping address has been sent to NY. 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 xml:space="preserve">Cleveland </w:t>
      </w:r>
      <w:r>
        <w:rPr>
          <w:rFonts w:cs="Arial"/>
          <w:sz w:val="20"/>
        </w:rPr>
        <w:t>– All three PCR Buildings shipped on 2/18/02 and should arrive on site 2/22/02.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 xml:space="preserve">SISCORP </w:t>
      </w:r>
      <w:r>
        <w:rPr>
          <w:rFonts w:cs="Arial"/>
          <w:sz w:val="20"/>
        </w:rPr>
        <w:t>– Building components for Station 1 arrived on site 2/18/02, Station 2 arrived 2/15/02, and Station 3 is scheduled to arrive on 3/04/02.  Generator Buildings will arrive on site as follows: Station 1 – 3/11/02, Station 2 – 2/25/02, and Station 3 – 3/5/02.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 xml:space="preserve">Altofer </w:t>
      </w:r>
      <w:r>
        <w:rPr>
          <w:rFonts w:cs="Arial"/>
          <w:sz w:val="20"/>
        </w:rPr>
        <w:t>– Gen Sets are tested and ready for all three stations.  Switchgear is ready for Stations 1 &amp; 2, and Station 3 should be ready by 2/22/02.  Expect 2% discount for pre-payment.  Altofer has received their money and released equipment to start shipping on 2/20/02.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>GULFEX</w:t>
      </w:r>
      <w:r>
        <w:rPr>
          <w:rFonts w:cs="Arial"/>
          <w:sz w:val="20"/>
        </w:rPr>
        <w:t xml:space="preserve"> - Station 3 spools will all ship by 2/22/02.</w:t>
      </w:r>
    </w:p>
    <w:p>
      <w:pPr>
        <w:pStyle w:val="Normal"/>
        <w:ind w:start="720" w:end="0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numPr>
          <w:ilvl w:val="0"/>
          <w:numId w:val="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Cash flow and spending caps for 2002, and the possible further impacts to forecasted in service dates.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Material and equipment delays as a result of Enron’s current financial situation.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Late construction start date and mobilization during winter months.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Construction progress is falling behind plan to support current in-service dates.  Reviewing schedules and developing plans to minimize impact.</w:t>
      </w:r>
    </w:p>
    <w:p>
      <w:pPr>
        <w:pStyle w:val="Normal"/>
        <w:numPr>
          <w:ilvl w:val="0"/>
          <w:numId w:val="3"/>
        </w:numPr>
        <w:jc w:val="both"/>
        <w:rPr>
          <w:sz w:val="20"/>
        </w:rPr>
      </w:pPr>
      <w:r>
        <w:rPr>
          <w:rFonts w:cs="Arial"/>
          <w:sz w:val="20"/>
        </w:rPr>
        <w:t>Monitoring Station 4 overhaul schedule with Optimization &amp; Planning.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FINANCIAL STATUS:</w:t>
      </w:r>
    </w:p>
    <w:p>
      <w:pPr>
        <w:pStyle w:val="Normal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6"/>
        </w:numPr>
        <w:jc w:val="both"/>
        <w:rPr>
          <w:sz w:val="20"/>
        </w:rPr>
      </w:pPr>
      <w:r>
        <w:rPr>
          <w:sz w:val="20"/>
        </w:rPr>
        <w:t>Project costs through January are approximately $34.5M and commitments total $49.4M.</w:t>
      </w:r>
    </w:p>
    <w:p>
      <w:pPr>
        <w:pStyle w:val="Normal"/>
        <w:numPr>
          <w:ilvl w:val="0"/>
          <w:numId w:val="6"/>
        </w:numPr>
        <w:jc w:val="both"/>
        <w:rPr>
          <w:sz w:val="20"/>
        </w:rPr>
      </w:pPr>
      <w:r>
        <w:rPr>
          <w:sz w:val="20"/>
        </w:rPr>
        <w:t>January expenditures were $11.0M and commitments were $4.0M.</w:t>
      </w:r>
    </w:p>
    <w:p>
      <w:pPr>
        <w:pStyle w:val="Normal"/>
        <w:numPr>
          <w:ilvl w:val="0"/>
          <w:numId w:val="6"/>
        </w:numPr>
        <w:jc w:val="both"/>
        <w:rPr>
          <w:sz w:val="20"/>
        </w:rPr>
      </w:pPr>
      <w:r>
        <w:rPr>
          <w:sz w:val="20"/>
        </w:rPr>
        <w:t>Expenditures are running ahead of plan due to accelerated payments for goods &amp; services.</w:t>
      </w:r>
    </w:p>
    <w:sectPr>
      <w:type w:val="nextPage"/>
      <w:pgSz w:w="12240" w:h="15840"/>
      <w:pgMar w:left="1260" w:right="1080" w:gutter="0" w:header="0" w:top="99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Helv;Arial" w:hAnsi="Helv;Arial" w:cs="Helv;Arial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5">
    <w:name w:val="WW8Num13z5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1">
    <w:name w:val="WW8Num16z1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body1">
    <w:name w:val="body1"/>
    <w:basedOn w:val="DefaultParagraphFont"/>
    <w:qFormat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xl24">
    <w:name w:val="xl24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25">
    <w:name w:val="xl25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26">
    <w:name w:val="xl26"/>
    <w:basedOn w:val="Normal"/>
    <w:qFormat/>
    <w:pPr>
      <w:pBdr>
        <w:bottom w:val="single" w:sz="8" w:space="0" w:color="000000"/>
      </w:pBd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xl27">
    <w:name w:val="xl27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28">
    <w:name w:val="xl28"/>
    <w:basedOn w:val="Normal"/>
    <w:qFormat/>
    <w:pPr>
      <w:spacing w:before="100" w:after="100"/>
    </w:pPr>
    <w:rPr>
      <w:rFonts w:eastAsia="Arial Unicode MS" w:cs="Arial"/>
      <w:b/>
      <w:bCs/>
      <w:sz w:val="28"/>
      <w:szCs w:val="28"/>
    </w:rPr>
  </w:style>
  <w:style w:type="paragraph" w:styleId="xl29">
    <w:name w:val="xl29"/>
    <w:basedOn w:val="Normal"/>
    <w:qFormat/>
    <w:pPr>
      <w:spacing w:before="100" w:after="100"/>
    </w:pPr>
    <w:rPr>
      <w:rFonts w:eastAsia="Arial Unicode MS" w:cs="Arial"/>
      <w:sz w:val="28"/>
      <w:szCs w:val="28"/>
    </w:rPr>
  </w:style>
  <w:style w:type="paragraph" w:styleId="xl30">
    <w:name w:val="xl30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31">
    <w:name w:val="xl31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32">
    <w:name w:val="xl32"/>
    <w:basedOn w:val="Normal"/>
    <w:qFormat/>
    <w:pPr>
      <w:pBdr>
        <w:top w:val="single" w:sz="4" w:space="0" w:color="000000"/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33">
    <w:name w:val="xl33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34">
    <w:name w:val="xl34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35">
    <w:name w:val="xl35"/>
    <w:basedOn w:val="Normal"/>
    <w:qFormat/>
    <w:pPr>
      <w:spacing w:before="100" w:after="100"/>
    </w:pPr>
    <w:rPr>
      <w:rFonts w:eastAsia="Arial Unicode MS" w:cs="Arial"/>
      <w:sz w:val="28"/>
      <w:szCs w:val="28"/>
    </w:rPr>
  </w:style>
  <w:style w:type="paragraph" w:styleId="xl36">
    <w:name w:val="xl36"/>
    <w:basedOn w:val="Normal"/>
    <w:qFormat/>
    <w:pPr>
      <w:spacing w:before="100" w:after="100"/>
    </w:pPr>
    <w:rPr>
      <w:rFonts w:eastAsia="Arial Unicode MS" w:cs="Arial"/>
      <w:sz w:val="28"/>
      <w:szCs w:val="28"/>
    </w:rPr>
  </w:style>
  <w:style w:type="paragraph" w:styleId="xl37">
    <w:name w:val="xl37"/>
    <w:basedOn w:val="Normal"/>
    <w:qFormat/>
    <w:pPr>
      <w:spacing w:before="100" w:after="100"/>
    </w:pPr>
    <w:rPr>
      <w:rFonts w:eastAsia="Arial Unicode MS" w:cs="Arial"/>
      <w:b/>
      <w:bCs/>
      <w:sz w:val="28"/>
      <w:szCs w:val="28"/>
    </w:rPr>
  </w:style>
  <w:style w:type="paragraph" w:styleId="xl38">
    <w:name w:val="xl38"/>
    <w:basedOn w:val="Normal"/>
    <w:qFormat/>
    <w:pPr>
      <w:pBdr>
        <w:right w:val="single" w:sz="8" w:space="0" w:color="000000"/>
      </w:pBdr>
      <w:spacing w:before="100" w:after="100"/>
    </w:pPr>
    <w:rPr>
      <w:rFonts w:eastAsia="Arial Unicode MS" w:cs="Arial"/>
      <w:b/>
      <w:bCs/>
      <w:szCs w:val="24"/>
    </w:rPr>
  </w:style>
  <w:style w:type="paragraph" w:styleId="xl39">
    <w:name w:val="xl39"/>
    <w:basedOn w:val="Normal"/>
    <w:qFormat/>
    <w:pPr>
      <w:pBdr>
        <w:right w:val="single" w:sz="8" w:space="0" w:color="000000"/>
      </w:pBd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xl40">
    <w:name w:val="xl40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41">
    <w:name w:val="xl41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42">
    <w:name w:val="xl42"/>
    <w:basedOn w:val="Normal"/>
    <w:qFormat/>
    <w:pPr>
      <w:pBdr>
        <w:top w:val="single" w:sz="4" w:space="0" w:color="000000"/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43">
    <w:name w:val="xl43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44">
    <w:name w:val="xl44"/>
    <w:basedOn w:val="Normal"/>
    <w:qFormat/>
    <w:pPr>
      <w:pBdr>
        <w:top w:val="single" w:sz="4" w:space="0" w:color="000000"/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45">
    <w:name w:val="xl45"/>
    <w:basedOn w:val="Normal"/>
    <w:qFormat/>
    <w:pPr>
      <w:spacing w:before="100" w:after="100"/>
    </w:pPr>
    <w:rPr>
      <w:rFonts w:eastAsia="Arial Unicode MS" w:cs="Arial"/>
      <w:b/>
      <w:bCs/>
      <w:sz w:val="32"/>
      <w:szCs w:val="32"/>
    </w:rPr>
  </w:style>
  <w:style w:type="paragraph" w:styleId="xl46">
    <w:name w:val="xl46"/>
    <w:basedOn w:val="Normal"/>
    <w:qFormat/>
    <w:pPr>
      <w:spacing w:before="100" w:after="100"/>
    </w:pPr>
    <w:rPr>
      <w:rFonts w:eastAsia="Arial Unicode MS" w:cs="Arial"/>
      <w:b/>
      <w:bCs/>
      <w:sz w:val="28"/>
      <w:szCs w:val="28"/>
    </w:rPr>
  </w:style>
  <w:style w:type="paragraph" w:styleId="xl47">
    <w:name w:val="xl47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48">
    <w:name w:val="xl48"/>
    <w:basedOn w:val="Normal"/>
    <w:qFormat/>
    <w:pP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49">
    <w:name w:val="xl49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50">
    <w:name w:val="xl50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51">
    <w:name w:val="xl51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52">
    <w:name w:val="xl52"/>
    <w:basedOn w:val="Normal"/>
    <w:qFormat/>
    <w:pP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53">
    <w:name w:val="xl53"/>
    <w:basedOn w:val="Normal"/>
    <w:qFormat/>
    <w:pPr>
      <w:spacing w:before="100" w:after="100"/>
      <w:jc w:val="center"/>
    </w:pPr>
    <w:rPr>
      <w:rFonts w:eastAsia="Arial Unicode MS" w:cs="Arial"/>
      <w:szCs w:val="24"/>
    </w:rPr>
  </w:style>
  <w:style w:type="paragraph" w:styleId="xl54">
    <w:name w:val="xl54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55">
    <w:name w:val="xl55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56">
    <w:name w:val="xl56"/>
    <w:basedOn w:val="Normal"/>
    <w:qFormat/>
    <w:pPr>
      <w:spacing w:before="100" w:after="100"/>
      <w:jc w:val="center"/>
    </w:pPr>
    <w:rPr>
      <w:rFonts w:eastAsia="Arial Unicode MS" w:cs="Arial"/>
      <w:szCs w:val="24"/>
    </w:rPr>
  </w:style>
  <w:style w:type="paragraph" w:styleId="xl57">
    <w:name w:val="xl57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 w:val="16"/>
      <w:szCs w:val="16"/>
    </w:rPr>
  </w:style>
  <w:style w:type="paragraph" w:styleId="xl58">
    <w:name w:val="xl58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59">
    <w:name w:val="xl59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 w:val="16"/>
      <w:szCs w:val="16"/>
    </w:rPr>
  </w:style>
  <w:style w:type="paragraph" w:styleId="xl60">
    <w:name w:val="xl60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61">
    <w:name w:val="xl6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62">
    <w:name w:val="xl62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i/>
      <w:iCs/>
      <w:szCs w:val="24"/>
    </w:rPr>
  </w:style>
  <w:style w:type="paragraph" w:styleId="xl63">
    <w:name w:val="xl63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64">
    <w:name w:val="xl64"/>
    <w:basedOn w:val="Normal"/>
    <w:qFormat/>
    <w:pPr>
      <w:pBdr>
        <w:top w:val="single" w:sz="4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65">
    <w:name w:val="xl65"/>
    <w:basedOn w:val="Normal"/>
    <w:qFormat/>
    <w:pPr>
      <w:pBdr>
        <w:top w:val="single" w:sz="4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66">
    <w:name w:val="xl66"/>
    <w:basedOn w:val="Normal"/>
    <w:qFormat/>
    <w:pPr>
      <w:pBdr>
        <w:top w:val="single" w:sz="4" w:space="0" w:color="000000"/>
        <w:bottom w:val="double" w:sz="6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67">
    <w:name w:val="xl67"/>
    <w:basedOn w:val="Normal"/>
    <w:qFormat/>
    <w:pPr>
      <w:pBdr>
        <w:top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68">
    <w:name w:val="xl68"/>
    <w:basedOn w:val="Normal"/>
    <w:qFormat/>
    <w:pP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69">
    <w:name w:val="xl69"/>
    <w:basedOn w:val="Normal"/>
    <w:qFormat/>
    <w:pPr>
      <w:pBdr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70">
    <w:name w:val="xl70"/>
    <w:basedOn w:val="Normal"/>
    <w:qFormat/>
    <w:pPr>
      <w:pBdr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71">
    <w:name w:val="xl71"/>
    <w:basedOn w:val="Normal"/>
    <w:qFormat/>
    <w:pPr>
      <w:pBdr>
        <w:bottom w:val="double" w:sz="6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szCs w:val="24"/>
    </w:rPr>
  </w:style>
  <w:style w:type="paragraph" w:styleId="xl72">
    <w:name w:val="xl72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73">
    <w:name w:val="xl73"/>
    <w:basedOn w:val="Normal"/>
    <w:qFormat/>
    <w:pPr>
      <w:pBdr>
        <w:left w:val="single" w:sz="8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74">
    <w:name w:val="xl74"/>
    <w:basedOn w:val="Normal"/>
    <w:qFormat/>
    <w:pPr>
      <w:pBdr>
        <w:bottom w:val="single" w:sz="4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75">
    <w:name w:val="xl75"/>
    <w:basedOn w:val="Normal"/>
    <w:qFormat/>
    <w:pPr>
      <w:pBdr>
        <w:bottom w:val="single" w:sz="4" w:space="0" w:color="000000"/>
        <w:right w:val="single" w:sz="8" w:space="0" w:color="000000"/>
      </w:pBd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xl76">
    <w:name w:val="xl76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77">
    <w:name w:val="xl77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78">
    <w:name w:val="xl78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79">
    <w:name w:val="xl79"/>
    <w:basedOn w:val="Normal"/>
    <w:qFormat/>
    <w:pPr>
      <w:pBdr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80">
    <w:name w:val="xl80"/>
    <w:basedOn w:val="Normal"/>
    <w:qFormat/>
    <w:pPr>
      <w:pBdr>
        <w:left w:val="single" w:sz="8" w:space="0" w:color="000000"/>
        <w:bottom w:val="single" w:sz="4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81">
    <w:name w:val="xl81"/>
    <w:basedOn w:val="Normal"/>
    <w:qFormat/>
    <w:pPr>
      <w:pBdr>
        <w:bottom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82">
    <w:name w:val="xl82"/>
    <w:basedOn w:val="Normal"/>
    <w:qFormat/>
    <w:pPr>
      <w:pBdr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83">
    <w:name w:val="xl83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84">
    <w:name w:val="xl84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85">
    <w:name w:val="xl85"/>
    <w:basedOn w:val="Normal"/>
    <w:qFormat/>
    <w:pPr>
      <w:pBdr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86">
    <w:name w:val="xl86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87">
    <w:name w:val="xl87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88">
    <w:name w:val="xl88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89">
    <w:name w:val="xl89"/>
    <w:basedOn w:val="Normal"/>
    <w:qFormat/>
    <w:pPr>
      <w:pBdr>
        <w:top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0">
    <w:name w:val="xl90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1">
    <w:name w:val="xl91"/>
    <w:basedOn w:val="Normal"/>
    <w:qFormat/>
    <w:pPr>
      <w:pBdr>
        <w:top w:val="single" w:sz="8" w:space="0" w:color="000000"/>
        <w:right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92">
    <w:name w:val="xl92"/>
    <w:basedOn w:val="Normal"/>
    <w:qFormat/>
    <w:pPr>
      <w:pBdr>
        <w:top w:val="single" w:sz="8" w:space="0" w:color="000000"/>
        <w:left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93">
    <w:name w:val="xl93"/>
    <w:basedOn w:val="Normal"/>
    <w:qFormat/>
    <w:pPr>
      <w:pBdr>
        <w:right w:val="single" w:sz="4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94">
    <w:name w:val="xl94"/>
    <w:basedOn w:val="Normal"/>
    <w:qFormat/>
    <w:pPr>
      <w:pBdr>
        <w:left w:val="single" w:sz="4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95">
    <w:name w:val="xl95"/>
    <w:basedOn w:val="Normal"/>
    <w:qFormat/>
    <w:pPr>
      <w:pBdr>
        <w:bottom w:val="single" w:sz="8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96">
    <w:name w:val="xl96"/>
    <w:basedOn w:val="Normal"/>
    <w:qFormat/>
    <w:pPr>
      <w:pBdr>
        <w:left w:val="single" w:sz="4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97">
    <w:name w:val="xl97"/>
    <w:basedOn w:val="Normal"/>
    <w:qFormat/>
    <w:pPr>
      <w:pBdr>
        <w:top w:val="single" w:sz="8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8">
    <w:name w:val="xl98"/>
    <w:basedOn w:val="Normal"/>
    <w:qFormat/>
    <w:pPr>
      <w:pBdr>
        <w:top w:val="single" w:sz="8" w:space="0" w:color="000000"/>
        <w:lef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9">
    <w:name w:val="xl99"/>
    <w:basedOn w:val="Normal"/>
    <w:qFormat/>
    <w:pPr>
      <w:pBdr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0">
    <w:name w:val="xl100"/>
    <w:basedOn w:val="Normal"/>
    <w:qFormat/>
    <w:pPr>
      <w:pBdr>
        <w:lef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1">
    <w:name w:val="xl101"/>
    <w:basedOn w:val="Normal"/>
    <w:qFormat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2">
    <w:name w:val="xl102"/>
    <w:basedOn w:val="Normal"/>
    <w:qFormat/>
    <w:pPr>
      <w:pBdr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3">
    <w:name w:val="xl103"/>
    <w:basedOn w:val="Normal"/>
    <w:qFormat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5">
    <w:name w:val="xl105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106">
    <w:name w:val="xl106"/>
    <w:basedOn w:val="Normal"/>
    <w:qFormat/>
    <w:pPr>
      <w:pBdr>
        <w:top w:val="single" w:sz="8" w:space="0" w:color="000000"/>
        <w:bottom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107">
    <w:name w:val="xl107"/>
    <w:basedOn w:val="Normal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108">
    <w:name w:val="xl108"/>
    <w:basedOn w:val="Normal"/>
    <w:qFormat/>
    <w:pPr>
      <w:pBdr>
        <w:top w:val="single" w:sz="8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109">
    <w:name w:val="xl109"/>
    <w:basedOn w:val="Normal"/>
    <w:qFormat/>
    <w:pPr>
      <w:spacing w:before="100" w:after="100"/>
    </w:pPr>
    <w:rPr>
      <w:rFonts w:eastAsia="Arial Unicode MS" w:cs="Arial"/>
      <w:b/>
      <w:bCs/>
      <w:szCs w:val="24"/>
      <w:u w:val="single"/>
    </w:rPr>
  </w:style>
  <w:style w:type="paragraph" w:styleId="xl110">
    <w:name w:val="xl110"/>
    <w:basedOn w:val="Normal"/>
    <w:qFormat/>
    <w:pP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111">
    <w:name w:val="xl111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112">
    <w:name w:val="xl112"/>
    <w:basedOn w:val="Normal"/>
    <w:qFormat/>
    <w:pPr>
      <w:spacing w:before="100" w:after="100"/>
    </w:pPr>
    <w:rPr>
      <w:rFonts w:eastAsia="Arial Unicode MS" w:cs="Arial"/>
      <w:szCs w:val="24"/>
    </w:rPr>
  </w:style>
  <w:style w:type="paragraph" w:styleId="xl113">
    <w:name w:val="xl113"/>
    <w:basedOn w:val="Normal"/>
    <w:qFormat/>
    <w:pPr>
      <w:spacing w:before="100" w:after="100"/>
      <w:jc w:val="end"/>
    </w:pPr>
    <w:rPr>
      <w:rFonts w:ascii="Arial Unicode MS" w:hAnsi="Arial Unicode MS" w:eastAsia="Arial Unicode MS" w:cs="Arial Unicode MS"/>
      <w:szCs w:val="24"/>
    </w:rPr>
  </w:style>
  <w:style w:type="paragraph" w:styleId="xl114">
    <w:name w:val="xl114"/>
    <w:basedOn w:val="Normal"/>
    <w:qFormat/>
    <w:pPr>
      <w:spacing w:before="100" w:after="100"/>
    </w:pPr>
    <w:rPr>
      <w:rFonts w:eastAsia="Arial Unicode MS" w:cs="Arial"/>
      <w:szCs w:val="24"/>
    </w:rPr>
  </w:style>
  <w:style w:type="paragraph" w:styleId="xl115">
    <w:name w:val="xl115"/>
    <w:basedOn w:val="Normal"/>
    <w:qFormat/>
    <w:pPr>
      <w:spacing w:before="100" w:after="100"/>
      <w:jc w:val="end"/>
    </w:pPr>
    <w:rPr>
      <w:rFonts w:eastAsia="Arial Unicode MS" w:cs="Arial"/>
      <w:b/>
      <w:bCs/>
      <w:szCs w:val="24"/>
    </w:rPr>
  </w:style>
  <w:style w:type="paragraph" w:styleId="xl116">
    <w:name w:val="xl116"/>
    <w:basedOn w:val="Normal"/>
    <w:qFormat/>
    <w:pPr>
      <w:spacing w:before="100" w:after="100"/>
    </w:pPr>
    <w:rPr>
      <w:rFonts w:eastAsia="Arial Unicode MS" w:cs="Arial"/>
      <w:b/>
      <w:bCs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2002-02-21T14:24:00Z</dcterms:created>
  <dc:creator>eecc</dc:creator>
  <dc:description/>
  <dc:language>en-CA</dc:language>
  <cp:lastModifiedBy>David W. Hubbard</cp:lastModifiedBy>
  <cp:lastPrinted>2002-02-20T14:27:00Z</cp:lastPrinted>
  <dcterms:modified xsi:type="dcterms:W3CDTF">2002-02-21T14:24:00Z</dcterms:modified>
  <cp:revision>2</cp:revision>
  <dc:subject/>
  <dc:title>To: Jerry D Martin/ENRON@enronXgate</dc:title>
</cp:coreProperties>
</file>