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Helv;Arial" w:hAnsi="Helv;Arial" w:cs="Helv;Arial"/>
          <w:sz w:val="28"/>
        </w:rPr>
      </w:pPr>
      <w:r>
        <w:rPr>
          <w:rFonts w:cs="Helv;Arial" w:ascii="Helv;Arial" w:hAnsi="Helv;Arial"/>
          <w:sz w:val="28"/>
        </w:rPr>
        <w:t>RED ROCK PROJECT WEEKLY REPORT (ENRON INTERNAL)</w:t>
      </w:r>
    </w:p>
    <w:p>
      <w:pPr>
        <w:pStyle w:val="Heading1"/>
        <w:ind w:hanging="0" w:start="0"/>
        <w:rPr>
          <w:sz w:val="20"/>
        </w:rPr>
      </w:pPr>
      <w:r>
        <w:rPr/>
        <w:t>WEEK ENDING – JANUARY 17, 2002</w:t>
      </w:r>
    </w:p>
    <w:p>
      <w:pPr>
        <w:pStyle w:val="Normal"/>
        <w:jc w:val="both"/>
        <w:rPr>
          <w:sz w:val="20"/>
        </w:rPr>
      </w:pPr>
      <w:r>
        <w:rPr>
          <w:sz w:val="20"/>
        </w:rPr>
      </w:r>
    </w:p>
    <w:p>
      <w:pPr>
        <w:pStyle w:val="Normal"/>
        <w:numPr>
          <w:ilvl w:val="0"/>
          <w:numId w:val="3"/>
        </w:numPr>
        <w:jc w:val="both"/>
        <w:rPr>
          <w:b/>
          <w:bCs/>
          <w:sz w:val="20"/>
          <w:u w:val="single"/>
        </w:rPr>
      </w:pPr>
      <w:r>
        <w:rPr>
          <w:b/>
          <w:bCs/>
          <w:sz w:val="20"/>
          <w:u w:val="single"/>
        </w:rPr>
        <w:t>ACTIVITIES:</w:t>
      </w:r>
    </w:p>
    <w:p>
      <w:pPr>
        <w:pStyle w:val="Normal"/>
        <w:ind w:start="360" w:end="0"/>
        <w:jc w:val="both"/>
        <w:rPr>
          <w:b/>
          <w:bCs/>
          <w:sz w:val="20"/>
          <w:u w:val="single"/>
        </w:rPr>
      </w:pPr>
      <w:r>
        <w:rPr>
          <w:b/>
          <w:bCs/>
          <w:sz w:val="20"/>
          <w:u w:val="single"/>
        </w:rPr>
      </w:r>
    </w:p>
    <w:p>
      <w:pPr>
        <w:pStyle w:val="Normal"/>
        <w:numPr>
          <w:ilvl w:val="0"/>
          <w:numId w:val="4"/>
        </w:numPr>
        <w:jc w:val="both"/>
        <w:rPr>
          <w:b/>
          <w:bCs/>
          <w:sz w:val="20"/>
        </w:rPr>
      </w:pPr>
      <w:r>
        <w:rPr>
          <w:sz w:val="20"/>
        </w:rPr>
        <w:t>The first two NP units are at sea and will arrive in Houston around January 24th.  Station 1 need date on site is 2/11 and Station 2 is 2/4 (pending building permit receipt this week).  Compressors and Turbine skids will be shipped together and the Gas Generators will be shipped separate.</w:t>
      </w:r>
    </w:p>
    <w:p>
      <w:pPr>
        <w:pStyle w:val="Normal"/>
        <w:numPr>
          <w:ilvl w:val="0"/>
          <w:numId w:val="4"/>
        </w:numPr>
        <w:jc w:val="both"/>
        <w:rPr>
          <w:b/>
          <w:bCs/>
          <w:sz w:val="20"/>
        </w:rPr>
      </w:pPr>
      <w:r>
        <w:rPr>
          <w:sz w:val="20"/>
        </w:rPr>
        <w:t>Testing slippage in Italy on the third unit has delayed shipment until the second week of Feb ’02.  Unit console functional test is being conducted this week and Fire Test is scheduled sometime during January 25</w:t>
      </w:r>
      <w:r>
        <w:rPr>
          <w:sz w:val="20"/>
          <w:vertAlign w:val="superscript"/>
        </w:rPr>
        <w:t>th</w:t>
      </w:r>
      <w:r>
        <w:rPr>
          <w:sz w:val="20"/>
        </w:rPr>
        <w:t xml:space="preserve"> – 31</w:t>
      </w:r>
      <w:r>
        <w:rPr>
          <w:sz w:val="20"/>
          <w:vertAlign w:val="superscript"/>
        </w:rPr>
        <w:t>st</w:t>
      </w:r>
      <w:r>
        <w:rPr>
          <w:sz w:val="20"/>
        </w:rPr>
        <w:t>.  ETA to site is mid March.</w:t>
      </w:r>
    </w:p>
    <w:p>
      <w:pPr>
        <w:pStyle w:val="Normal"/>
        <w:numPr>
          <w:ilvl w:val="0"/>
          <w:numId w:val="2"/>
        </w:numPr>
        <w:jc w:val="both"/>
        <w:rPr>
          <w:sz w:val="20"/>
        </w:rPr>
      </w:pPr>
      <w:r>
        <w:rPr>
          <w:sz w:val="20"/>
        </w:rPr>
        <w:t>GULFEX - Lisa Honey will contact GULFEX to resolve check/bank availability of funds issue.</w:t>
      </w:r>
    </w:p>
    <w:p>
      <w:pPr>
        <w:pStyle w:val="Normal"/>
        <w:numPr>
          <w:ilvl w:val="0"/>
          <w:numId w:val="2"/>
        </w:numPr>
        <w:jc w:val="both"/>
        <w:rPr>
          <w:sz w:val="20"/>
        </w:rPr>
      </w:pPr>
      <w:r>
        <w:rPr>
          <w:sz w:val="20"/>
        </w:rPr>
        <w:t>Tie-In at Stations 1 will be completed March 4</w:t>
      </w:r>
      <w:r>
        <w:rPr>
          <w:sz w:val="20"/>
          <w:vertAlign w:val="superscript"/>
        </w:rPr>
        <w:t xml:space="preserve">th </w:t>
      </w:r>
      <w:r>
        <w:rPr>
          <w:sz w:val="20"/>
        </w:rPr>
        <w:t>thru 11</w:t>
      </w:r>
      <w:r>
        <w:rPr>
          <w:sz w:val="20"/>
          <w:vertAlign w:val="superscript"/>
        </w:rPr>
        <w:t>th</w:t>
      </w:r>
      <w:r>
        <w:rPr>
          <w:sz w:val="20"/>
        </w:rPr>
        <w:t xml:space="preserve"> to coincide with the outage at Station 4.</w:t>
      </w:r>
    </w:p>
    <w:p>
      <w:pPr>
        <w:pStyle w:val="Normal"/>
        <w:numPr>
          <w:ilvl w:val="0"/>
          <w:numId w:val="2"/>
        </w:numPr>
        <w:jc w:val="both"/>
        <w:rPr>
          <w:sz w:val="20"/>
        </w:rPr>
      </w:pPr>
      <w:r>
        <w:rPr>
          <w:sz w:val="20"/>
        </w:rPr>
        <w:t>Tie-Ins at Station 3 will be completed 4/1 thru 4/27 to coincide with the over haul at Station 4.</w:t>
      </w:r>
    </w:p>
    <w:p>
      <w:pPr>
        <w:pStyle w:val="Normal"/>
        <w:numPr>
          <w:ilvl w:val="0"/>
          <w:numId w:val="2"/>
        </w:numPr>
        <w:jc w:val="both"/>
        <w:rPr>
          <w:sz w:val="20"/>
        </w:rPr>
      </w:pPr>
      <w:r>
        <w:rPr>
          <w:sz w:val="20"/>
        </w:rPr>
        <w:t>Station 1 will pour main block foundation on 1/26 instead of 1/19.</w:t>
      </w:r>
    </w:p>
    <w:p>
      <w:pPr>
        <w:pStyle w:val="Normal"/>
        <w:numPr>
          <w:ilvl w:val="0"/>
          <w:numId w:val="2"/>
        </w:numPr>
        <w:jc w:val="both"/>
        <w:rPr>
          <w:sz w:val="20"/>
        </w:rPr>
      </w:pPr>
      <w:r>
        <w:rPr>
          <w:sz w:val="20"/>
        </w:rPr>
        <w:t>Station 2 needs to get building permit before any concrete is poured.  Ron Roller will visit County Authority today to resolve issue.  Rebar mat complete for Generator Building.  Forming Cooler and support foundations. Half of the PCR Building is ready to pour.  Held up waiting on anchor bolts.</w:t>
      </w:r>
    </w:p>
    <w:p>
      <w:pPr>
        <w:pStyle w:val="Normal"/>
        <w:numPr>
          <w:ilvl w:val="0"/>
          <w:numId w:val="2"/>
        </w:numPr>
        <w:jc w:val="both"/>
        <w:rPr>
          <w:sz w:val="20"/>
        </w:rPr>
      </w:pPr>
      <w:r>
        <w:rPr>
          <w:sz w:val="20"/>
        </w:rPr>
        <w:t>Station 3 poured seal slab on main block foundation.  Continue excavation and forming foundations.</w:t>
      </w:r>
    </w:p>
    <w:p>
      <w:pPr>
        <w:pStyle w:val="Normal"/>
        <w:numPr>
          <w:ilvl w:val="0"/>
          <w:numId w:val="2"/>
        </w:numPr>
        <w:jc w:val="both"/>
        <w:rPr>
          <w:sz w:val="20"/>
        </w:rPr>
      </w:pPr>
      <w:r>
        <w:rPr>
          <w:sz w:val="20"/>
        </w:rPr>
        <w:t>SISCORP will erect buildings at Station 1, Ranger at Station 2, and Foutz &amp; Bursum at Station 3.</w:t>
      </w:r>
    </w:p>
    <w:p>
      <w:pPr>
        <w:pStyle w:val="Normal"/>
        <w:jc w:val="both"/>
        <w:rPr>
          <w:sz w:val="20"/>
        </w:rPr>
      </w:pPr>
      <w:r>
        <w:rPr>
          <w:sz w:val="20"/>
        </w:rPr>
      </w:r>
    </w:p>
    <w:p>
      <w:pPr>
        <w:pStyle w:val="Normal"/>
        <w:numPr>
          <w:ilvl w:val="0"/>
          <w:numId w:val="3"/>
        </w:numPr>
        <w:jc w:val="both"/>
        <w:rPr>
          <w:b/>
          <w:bCs/>
          <w:sz w:val="20"/>
        </w:rPr>
      </w:pPr>
      <w:r>
        <w:rPr>
          <w:b/>
          <w:bCs/>
          <w:sz w:val="20"/>
          <w:u w:val="single"/>
        </w:rPr>
        <w:t>OBJECTIVES FOR NEXT WEEK</w:t>
      </w:r>
      <w:r>
        <w:rPr>
          <w:b/>
          <w:bCs/>
          <w:sz w:val="20"/>
        </w:rPr>
        <w:t xml:space="preserve">: </w:t>
      </w:r>
    </w:p>
    <w:p>
      <w:pPr>
        <w:pStyle w:val="Normal"/>
        <w:jc w:val="both"/>
        <w:rPr>
          <w:b/>
          <w:bCs/>
          <w:sz w:val="20"/>
        </w:rPr>
      </w:pPr>
      <w:r>
        <w:rPr>
          <w:b/>
          <w:bCs/>
          <w:sz w:val="20"/>
        </w:rPr>
      </w:r>
    </w:p>
    <w:p>
      <w:pPr>
        <w:pStyle w:val="Normal"/>
        <w:numPr>
          <w:ilvl w:val="0"/>
          <w:numId w:val="2"/>
        </w:numPr>
        <w:jc w:val="both"/>
        <w:rPr>
          <w:sz w:val="20"/>
        </w:rPr>
      </w:pPr>
      <w:r>
        <w:rPr>
          <w:sz w:val="20"/>
        </w:rPr>
        <w:t>Leonard Meeks to confirm that archeological area at Station 1 has been fenced off as required.  Contractor has erected most of the fence.  Material for last 100’ section is on back order and the area has been flagged off.</w:t>
      </w:r>
    </w:p>
    <w:p>
      <w:pPr>
        <w:pStyle w:val="Normal"/>
        <w:numPr>
          <w:ilvl w:val="0"/>
          <w:numId w:val="2"/>
        </w:numPr>
        <w:jc w:val="both"/>
        <w:rPr>
          <w:sz w:val="20"/>
        </w:rPr>
      </w:pPr>
      <w:r>
        <w:rPr>
          <w:sz w:val="20"/>
        </w:rPr>
        <w:t>Negotiate and issue payments to vendors as required to maintain project schedule.</w:t>
      </w:r>
    </w:p>
    <w:p>
      <w:pPr>
        <w:pStyle w:val="Normal"/>
        <w:numPr>
          <w:ilvl w:val="0"/>
          <w:numId w:val="2"/>
        </w:numPr>
        <w:jc w:val="both"/>
        <w:rPr>
          <w:sz w:val="20"/>
        </w:rPr>
      </w:pPr>
      <w:r>
        <w:rPr>
          <w:sz w:val="20"/>
        </w:rPr>
        <w:t>Confirm receipt of County Building Permit for Station 2.</w:t>
      </w:r>
    </w:p>
    <w:p>
      <w:pPr>
        <w:pStyle w:val="Normal"/>
        <w:numPr>
          <w:ilvl w:val="0"/>
          <w:numId w:val="4"/>
        </w:numPr>
        <w:jc w:val="both"/>
        <w:rPr>
          <w:sz w:val="20"/>
        </w:rPr>
      </w:pPr>
      <w:r>
        <w:rPr>
          <w:sz w:val="20"/>
        </w:rPr>
        <w:t>Larry Campbell to set up an Environmental training kick off meeting at each site.</w:t>
      </w:r>
    </w:p>
    <w:p>
      <w:pPr>
        <w:pStyle w:val="Normal"/>
        <w:numPr>
          <w:ilvl w:val="0"/>
          <w:numId w:val="4"/>
        </w:numPr>
        <w:jc w:val="both"/>
        <w:rPr>
          <w:sz w:val="20"/>
        </w:rPr>
      </w:pPr>
      <w:r>
        <w:rPr>
          <w:sz w:val="20"/>
        </w:rPr>
        <w:t>Environmental Training videos have been located and videos will be forwarded to each site.</w:t>
      </w:r>
    </w:p>
    <w:p>
      <w:pPr>
        <w:pStyle w:val="Normal"/>
        <w:numPr>
          <w:ilvl w:val="0"/>
          <w:numId w:val="2"/>
        </w:numPr>
        <w:jc w:val="both"/>
        <w:rPr>
          <w:sz w:val="20"/>
        </w:rPr>
      </w:pPr>
      <w:r>
        <w:rPr>
          <w:sz w:val="20"/>
        </w:rPr>
        <w:t xml:space="preserve">Byron and James Pfeffer will remain in Italy to witness fire testing of Unit 3 and expedite issues with NP. </w:t>
      </w:r>
    </w:p>
    <w:p>
      <w:pPr>
        <w:pStyle w:val="Normal"/>
        <w:jc w:val="both"/>
        <w:rPr>
          <w:sz w:val="20"/>
        </w:rPr>
      </w:pPr>
      <w:r>
        <w:rPr>
          <w:sz w:val="20"/>
        </w:rPr>
      </w:r>
    </w:p>
    <w:p>
      <w:pPr>
        <w:pStyle w:val="Normal"/>
        <w:numPr>
          <w:ilvl w:val="0"/>
          <w:numId w:val="3"/>
        </w:numPr>
        <w:jc w:val="both"/>
        <w:rPr>
          <w:b/>
          <w:bCs/>
          <w:sz w:val="20"/>
          <w:u w:val="single"/>
        </w:rPr>
      </w:pPr>
      <w:r>
        <w:rPr>
          <w:b/>
          <w:bCs/>
          <w:sz w:val="20"/>
          <w:u w:val="single"/>
        </w:rPr>
        <w:t>AREAS OF CONCERN:</w:t>
      </w:r>
    </w:p>
    <w:p>
      <w:pPr>
        <w:pStyle w:val="Normal"/>
        <w:jc w:val="both"/>
        <w:rPr>
          <w:b/>
          <w:bCs/>
          <w:sz w:val="20"/>
          <w:u w:val="single"/>
        </w:rPr>
      </w:pPr>
      <w:r>
        <w:rPr>
          <w:b/>
          <w:bCs/>
          <w:sz w:val="20"/>
          <w:u w:val="single"/>
        </w:rPr>
      </w:r>
    </w:p>
    <w:p>
      <w:pPr>
        <w:pStyle w:val="Normal"/>
        <w:numPr>
          <w:ilvl w:val="0"/>
          <w:numId w:val="2"/>
        </w:numPr>
        <w:jc w:val="both"/>
        <w:rPr>
          <w:b/>
          <w:bCs/>
          <w:sz w:val="20"/>
        </w:rPr>
      </w:pPr>
      <w:r>
        <w:rPr>
          <w:b/>
          <w:bCs/>
          <w:sz w:val="20"/>
        </w:rPr>
        <w:t>In service Dates remain as previously published:</w:t>
      </w:r>
    </w:p>
    <w:p>
      <w:pPr>
        <w:pStyle w:val="Normal"/>
        <w:jc w:val="both"/>
        <w:rPr>
          <w:b/>
          <w:bCs/>
          <w:sz w:val="20"/>
        </w:rPr>
      </w:pPr>
      <w:r>
        <w:rPr>
          <w:b/>
          <w:bCs/>
          <w:sz w:val="20"/>
        </w:rPr>
      </w:r>
    </w:p>
    <w:p>
      <w:pPr>
        <w:pStyle w:val="Normal"/>
        <w:numPr>
          <w:ilvl w:val="1"/>
          <w:numId w:val="2"/>
        </w:numPr>
        <w:jc w:val="both"/>
        <w:rPr>
          <w:b/>
          <w:bCs/>
          <w:sz w:val="20"/>
        </w:rPr>
      </w:pPr>
      <w:r>
        <w:rPr>
          <w:rFonts w:cs="Arial"/>
          <w:b/>
          <w:bCs/>
          <w:sz w:val="20"/>
        </w:rPr>
        <w:t>Stations 1 &amp; 2: June 15, 2002</w:t>
      </w:r>
    </w:p>
    <w:p>
      <w:pPr>
        <w:pStyle w:val="Normal"/>
        <w:numPr>
          <w:ilvl w:val="1"/>
          <w:numId w:val="2"/>
        </w:numPr>
        <w:jc w:val="both"/>
        <w:rPr>
          <w:b/>
          <w:bCs/>
          <w:sz w:val="20"/>
        </w:rPr>
      </w:pPr>
      <w:r>
        <w:rPr>
          <w:rFonts w:cs="Arial"/>
          <w:b/>
          <w:bCs/>
          <w:sz w:val="20"/>
        </w:rPr>
        <w:t>Station 3: July 01, 2002</w:t>
      </w:r>
    </w:p>
    <w:p>
      <w:pPr>
        <w:pStyle w:val="Normal"/>
        <w:ind w:start="720" w:end="0"/>
        <w:jc w:val="both"/>
        <w:rPr>
          <w:b/>
          <w:bCs/>
          <w:sz w:val="20"/>
        </w:rPr>
      </w:pPr>
      <w:r>
        <w:rPr>
          <w:b/>
          <w:bCs/>
          <w:sz w:val="20"/>
        </w:rPr>
      </w:r>
    </w:p>
    <w:p>
      <w:pPr>
        <w:pStyle w:val="Normal"/>
        <w:numPr>
          <w:ilvl w:val="0"/>
          <w:numId w:val="2"/>
        </w:numPr>
        <w:jc w:val="both"/>
        <w:rPr>
          <w:b/>
          <w:bCs/>
          <w:sz w:val="20"/>
        </w:rPr>
      </w:pPr>
      <w:r>
        <w:rPr>
          <w:b/>
          <w:bCs/>
          <w:sz w:val="20"/>
        </w:rPr>
        <w:t>Current Schedule Issues</w:t>
      </w:r>
    </w:p>
    <w:p>
      <w:pPr>
        <w:pStyle w:val="Normal"/>
        <w:numPr>
          <w:ilvl w:val="1"/>
          <w:numId w:val="2"/>
        </w:numPr>
        <w:jc w:val="both"/>
        <w:rPr>
          <w:sz w:val="20"/>
        </w:rPr>
      </w:pPr>
      <w:r>
        <w:rPr>
          <w:b/>
          <w:bCs/>
          <w:sz w:val="20"/>
          <w:u w:val="single"/>
        </w:rPr>
        <w:t>GEA Rainey Gas Coolers</w:t>
      </w:r>
      <w:r>
        <w:rPr>
          <w:sz w:val="20"/>
        </w:rPr>
        <w:t xml:space="preserve"> – </w:t>
      </w:r>
      <w:r>
        <w:rPr>
          <w:b/>
          <w:bCs/>
          <w:color w:val="FF0000"/>
          <w:sz w:val="20"/>
        </w:rPr>
        <w:t>(CRITICAL ITEM)</w:t>
      </w:r>
      <w:r>
        <w:rPr>
          <w:sz w:val="20"/>
        </w:rPr>
        <w:t xml:space="preserve"> On hold since mid December awaiting payment.  Check was sent out Jan. 7</w:t>
      </w:r>
      <w:r>
        <w:rPr>
          <w:sz w:val="20"/>
          <w:vertAlign w:val="superscript"/>
        </w:rPr>
        <w:t>th</w:t>
      </w:r>
      <w:r>
        <w:rPr>
          <w:sz w:val="20"/>
        </w:rPr>
        <w:t>, but they have not advised of new delivery date.</w:t>
      </w:r>
    </w:p>
    <w:p>
      <w:pPr>
        <w:pStyle w:val="Normal"/>
        <w:numPr>
          <w:ilvl w:val="1"/>
          <w:numId w:val="2"/>
        </w:numPr>
        <w:jc w:val="both"/>
        <w:rPr>
          <w:sz w:val="20"/>
        </w:rPr>
      </w:pPr>
      <w:r>
        <w:rPr>
          <w:b/>
          <w:bCs/>
          <w:sz w:val="20"/>
          <w:u w:val="single"/>
        </w:rPr>
        <w:t>Puffer Sweiven Recycle Valve</w:t>
      </w:r>
      <w:r>
        <w:rPr>
          <w:sz w:val="20"/>
        </w:rPr>
        <w:t xml:space="preserve"> – Delivery needs to be improved from 16 weeks to 12 weeks.</w:t>
      </w:r>
    </w:p>
    <w:p>
      <w:pPr>
        <w:pStyle w:val="Normal"/>
        <w:numPr>
          <w:ilvl w:val="1"/>
          <w:numId w:val="2"/>
        </w:numPr>
        <w:jc w:val="both"/>
        <w:rPr>
          <w:sz w:val="20"/>
        </w:rPr>
      </w:pPr>
      <w:r>
        <w:rPr>
          <w:b/>
          <w:bCs/>
          <w:sz w:val="20"/>
          <w:u w:val="single"/>
        </w:rPr>
        <w:t>LaBarge</w:t>
      </w:r>
      <w:r>
        <w:rPr>
          <w:sz w:val="20"/>
        </w:rPr>
        <w:t xml:space="preserve"> – Has agreed to ship $100k of pipe in between receipt of payments.  Pipe arrived at all three stations this week.  Three invoices to AP on Jan 17</w:t>
      </w:r>
      <w:r>
        <w:rPr>
          <w:sz w:val="20"/>
          <w:vertAlign w:val="superscript"/>
        </w:rPr>
        <w:t>th</w:t>
      </w:r>
      <w:r>
        <w:rPr>
          <w:sz w:val="20"/>
        </w:rPr>
        <w:t xml:space="preserve"> for ACH payment, and remaining pipe should be released this week.</w:t>
      </w:r>
    </w:p>
    <w:p>
      <w:pPr>
        <w:pStyle w:val="Normal"/>
        <w:numPr>
          <w:ilvl w:val="1"/>
          <w:numId w:val="2"/>
        </w:numPr>
        <w:jc w:val="both"/>
        <w:rPr>
          <w:sz w:val="20"/>
        </w:rPr>
      </w:pPr>
      <w:r>
        <w:rPr>
          <w:b/>
          <w:bCs/>
          <w:sz w:val="20"/>
          <w:u w:val="single"/>
        </w:rPr>
        <w:t xml:space="preserve">Markham 36” Check Valves </w:t>
      </w:r>
      <w:r>
        <w:rPr>
          <w:sz w:val="20"/>
        </w:rPr>
        <w:t>– Bodies are currently being machined in Germany.  This is approximately two (2) months behind schedule, and status report is due Monday 1/21.  Investigating air freight options to meet field need date of mid March.</w:t>
      </w:r>
    </w:p>
    <w:p>
      <w:pPr>
        <w:pStyle w:val="Normal"/>
        <w:numPr>
          <w:ilvl w:val="1"/>
          <w:numId w:val="2"/>
        </w:numPr>
        <w:jc w:val="both"/>
        <w:rPr>
          <w:sz w:val="20"/>
        </w:rPr>
      </w:pPr>
      <w:r>
        <w:rPr>
          <w:b/>
          <w:bCs/>
          <w:sz w:val="20"/>
          <w:u w:val="single"/>
        </w:rPr>
        <w:t>Testing of Unit 3 in Italy</w:t>
      </w:r>
      <w:r>
        <w:rPr>
          <w:sz w:val="20"/>
        </w:rPr>
        <w:t xml:space="preserve"> - has slipped from January 10</w:t>
      </w:r>
      <w:r>
        <w:rPr>
          <w:sz w:val="20"/>
          <w:vertAlign w:val="superscript"/>
        </w:rPr>
        <w:t>th</w:t>
      </w:r>
      <w:r>
        <w:rPr>
          <w:sz w:val="20"/>
        </w:rPr>
        <w:t xml:space="preserve"> to Jan. 25</w:t>
      </w:r>
      <w:r>
        <w:rPr>
          <w:sz w:val="20"/>
          <w:vertAlign w:val="superscript"/>
        </w:rPr>
        <w:t>th</w:t>
      </w:r>
      <w:r>
        <w:rPr>
          <w:sz w:val="20"/>
        </w:rPr>
        <w:t xml:space="preserve"> - 31</w:t>
      </w:r>
      <w:r>
        <w:rPr>
          <w:sz w:val="20"/>
          <w:vertAlign w:val="superscript"/>
        </w:rPr>
        <w:t>st</w:t>
      </w:r>
      <w:r>
        <w:rPr>
          <w:sz w:val="20"/>
        </w:rPr>
        <w:t>.  After packing, ocean shipment is expected at site in mid March.</w:t>
      </w:r>
    </w:p>
    <w:p>
      <w:pPr>
        <w:pStyle w:val="Normal"/>
        <w:numPr>
          <w:ilvl w:val="1"/>
          <w:numId w:val="2"/>
        </w:numPr>
        <w:jc w:val="both"/>
        <w:rPr>
          <w:sz w:val="20"/>
        </w:rPr>
      </w:pPr>
      <w:r>
        <w:rPr>
          <w:b/>
          <w:bCs/>
          <w:sz w:val="20"/>
          <w:u w:val="single"/>
        </w:rPr>
        <w:t>GULFEX</w:t>
      </w:r>
      <w:r>
        <w:rPr>
          <w:sz w:val="20"/>
        </w:rPr>
        <w:t xml:space="preserve"> - Station 1 piping is on site 1/16/02.  Station 2 went to the paint yard this week.  Station 3 fab complete week of 2/4.  All fab &amp; paint activities are on hold until funds availability issues are resolved with Enron bank on first check-resolved.  Second payment (ACH) was made 1/15/02.</w:t>
      </w:r>
    </w:p>
    <w:p>
      <w:pPr>
        <w:pStyle w:val="Normal"/>
        <w:numPr>
          <w:ilvl w:val="1"/>
          <w:numId w:val="2"/>
        </w:numPr>
        <w:jc w:val="both"/>
        <w:rPr>
          <w:sz w:val="20"/>
        </w:rPr>
      </w:pPr>
      <w:r>
        <w:rPr>
          <w:b/>
          <w:bCs/>
          <w:sz w:val="20"/>
          <w:u w:val="single"/>
        </w:rPr>
        <w:t>Red Man Supply</w:t>
      </w:r>
      <w:r>
        <w:rPr>
          <w:sz w:val="20"/>
        </w:rPr>
        <w:t xml:space="preserve"> – Purchase Order for a majority of the fittings on the project.  Wire transfer entered 1/16/02 for Stations 1 and 3.  Material will ship Monday January 21</w:t>
      </w:r>
      <w:r>
        <w:rPr>
          <w:sz w:val="20"/>
          <w:vertAlign w:val="superscript"/>
        </w:rPr>
        <w:t>st</w:t>
      </w:r>
      <w:r>
        <w:rPr>
          <w:sz w:val="20"/>
        </w:rPr>
        <w:t xml:space="preserve"> at the earliest or once payment is received and verified.</w:t>
      </w:r>
    </w:p>
    <w:p>
      <w:pPr>
        <w:pStyle w:val="Normal"/>
        <w:numPr>
          <w:ilvl w:val="1"/>
          <w:numId w:val="2"/>
        </w:numPr>
        <w:jc w:val="both"/>
        <w:rPr>
          <w:sz w:val="20"/>
        </w:rPr>
      </w:pPr>
      <w:r>
        <w:rPr>
          <w:b/>
          <w:bCs/>
          <w:sz w:val="20"/>
          <w:u w:val="single"/>
        </w:rPr>
        <w:t xml:space="preserve">SISCO </w:t>
      </w:r>
      <w:r>
        <w:rPr>
          <w:sz w:val="20"/>
        </w:rPr>
        <w:t>– ACH was entered 1/15/02 for high yield fittings at all three stations.  Material should ship Friday 1/18/02.</w:t>
      </w:r>
    </w:p>
    <w:p>
      <w:pPr>
        <w:pStyle w:val="Normal"/>
        <w:numPr>
          <w:ilvl w:val="1"/>
          <w:numId w:val="2"/>
        </w:numPr>
        <w:jc w:val="both"/>
        <w:rPr>
          <w:sz w:val="20"/>
        </w:rPr>
      </w:pPr>
      <w:r>
        <w:rPr>
          <w:b/>
          <w:bCs/>
          <w:sz w:val="20"/>
          <w:u w:val="single"/>
        </w:rPr>
        <w:t xml:space="preserve">Taylor Forge </w:t>
      </w:r>
      <w:r>
        <w:rPr>
          <w:sz w:val="20"/>
        </w:rPr>
        <w:t>– Need delivery of cooler headers for all three sites expedited and fabrication priority re-directed.  Priority is above ground sections first for Station 1, 2 and then 3.</w:t>
      </w:r>
    </w:p>
    <w:p>
      <w:pPr>
        <w:pStyle w:val="Normal"/>
        <w:numPr>
          <w:ilvl w:val="1"/>
          <w:numId w:val="2"/>
        </w:numPr>
        <w:jc w:val="both"/>
        <w:rPr>
          <w:sz w:val="20"/>
        </w:rPr>
      </w:pPr>
      <w:r>
        <w:rPr>
          <w:b/>
          <w:bCs/>
          <w:sz w:val="20"/>
          <w:u w:val="single"/>
        </w:rPr>
        <w:t xml:space="preserve">Shaffer Actuators </w:t>
      </w:r>
      <w:r>
        <w:rPr>
          <w:sz w:val="20"/>
        </w:rPr>
        <w:t>– Station 1 shipped 1/16/02, Station 2 on site, Station 3 will ship by 1/30/02.</w:t>
      </w:r>
    </w:p>
    <w:p>
      <w:pPr>
        <w:pStyle w:val="Normal"/>
        <w:numPr>
          <w:ilvl w:val="1"/>
          <w:numId w:val="2"/>
        </w:numPr>
        <w:jc w:val="both"/>
        <w:rPr>
          <w:sz w:val="20"/>
        </w:rPr>
      </w:pPr>
      <w:r>
        <w:rPr>
          <w:b/>
          <w:bCs/>
          <w:sz w:val="20"/>
          <w:u w:val="single"/>
        </w:rPr>
        <w:t xml:space="preserve">Perry Equipment </w:t>
      </w:r>
      <w:r>
        <w:rPr>
          <w:sz w:val="20"/>
        </w:rPr>
        <w:t>– Pat Williams at Station 1 was told by Kim Long with PECO that they intend to ship the scrubber and auxiliaries on 1/25/02 and Station 3 will ship on 2/14/02.</w:t>
      </w:r>
    </w:p>
    <w:p>
      <w:pPr>
        <w:pStyle w:val="Normal"/>
        <w:ind w:start="1080" w:end="0"/>
        <w:jc w:val="both"/>
        <w:rPr>
          <w:sz w:val="20"/>
        </w:rPr>
      </w:pPr>
      <w:r>
        <w:rPr>
          <w:rFonts w:eastAsia="Arial"/>
          <w:sz w:val="20"/>
          <w:highlight w:val="yellow"/>
        </w:rPr>
        <w:t xml:space="preserve"> </w:t>
      </w:r>
    </w:p>
    <w:p>
      <w:pPr>
        <w:pStyle w:val="Normal"/>
        <w:numPr>
          <w:ilvl w:val="0"/>
          <w:numId w:val="4"/>
        </w:numPr>
        <w:jc w:val="both"/>
        <w:rPr>
          <w:sz w:val="20"/>
        </w:rPr>
      </w:pPr>
      <w:r>
        <w:rPr>
          <w:sz w:val="20"/>
        </w:rPr>
        <w:t>Cash flow and spending caps for 2002, and the resulting further impacts to scheduled in service dates.</w:t>
      </w:r>
    </w:p>
    <w:p>
      <w:pPr>
        <w:pStyle w:val="Normal"/>
        <w:numPr>
          <w:ilvl w:val="0"/>
          <w:numId w:val="4"/>
        </w:numPr>
        <w:jc w:val="both"/>
        <w:rPr>
          <w:sz w:val="20"/>
        </w:rPr>
      </w:pPr>
      <w:r>
        <w:rPr>
          <w:sz w:val="20"/>
        </w:rPr>
        <w:t>Material and Equipment delays due to Vendors requesting advanced or pre payments before shipping.  Also the associated additional delay for Enron to issue checks/payments and vendor to receive payment.</w:t>
      </w:r>
    </w:p>
    <w:p>
      <w:pPr>
        <w:pStyle w:val="Normal"/>
        <w:numPr>
          <w:ilvl w:val="0"/>
          <w:numId w:val="4"/>
        </w:numPr>
        <w:jc w:val="both"/>
        <w:rPr>
          <w:sz w:val="20"/>
        </w:rPr>
      </w:pPr>
      <w:r>
        <w:rPr>
          <w:sz w:val="20"/>
        </w:rPr>
        <w:t>Delayed Construction start date and winter construction.</w:t>
      </w:r>
    </w:p>
    <w:p>
      <w:pPr>
        <w:pStyle w:val="Normal"/>
        <w:numPr>
          <w:ilvl w:val="0"/>
          <w:numId w:val="4"/>
        </w:numPr>
        <w:jc w:val="both"/>
        <w:rPr>
          <w:sz w:val="20"/>
        </w:rPr>
      </w:pPr>
      <w:r>
        <w:rPr>
          <w:sz w:val="20"/>
        </w:rPr>
        <w:t>Maintaining Nuovo Pignone testing and delivery schedule.</w:t>
      </w:r>
    </w:p>
    <w:p>
      <w:pPr>
        <w:pStyle w:val="Normal"/>
        <w:jc w:val="both"/>
        <w:rPr>
          <w:b/>
          <w:bCs/>
          <w:sz w:val="20"/>
          <w:u w:val="single"/>
        </w:rPr>
      </w:pPr>
      <w:r>
        <w:rPr>
          <w:b/>
          <w:bCs/>
          <w:sz w:val="20"/>
          <w:u w:val="single"/>
        </w:rPr>
      </w:r>
    </w:p>
    <w:p>
      <w:pPr>
        <w:pStyle w:val="Normal"/>
        <w:numPr>
          <w:ilvl w:val="0"/>
          <w:numId w:val="3"/>
        </w:numPr>
        <w:jc w:val="both"/>
        <w:rPr>
          <w:b/>
          <w:bCs/>
          <w:sz w:val="20"/>
          <w:u w:val="single"/>
        </w:rPr>
      </w:pPr>
      <w:r>
        <w:rPr>
          <w:b/>
          <w:bCs/>
          <w:sz w:val="20"/>
          <w:u w:val="single"/>
        </w:rPr>
        <w:t>FINANCIAL STATUS:</w:t>
      </w:r>
    </w:p>
    <w:p>
      <w:pPr>
        <w:pStyle w:val="Normal"/>
        <w:jc w:val="both"/>
        <w:rPr>
          <w:b/>
          <w:bCs/>
          <w:sz w:val="20"/>
          <w:u w:val="single"/>
        </w:rPr>
      </w:pPr>
      <w:r>
        <w:rPr>
          <w:b/>
          <w:bCs/>
          <w:sz w:val="20"/>
          <w:u w:val="single"/>
        </w:rPr>
      </w:r>
    </w:p>
    <w:p>
      <w:pPr>
        <w:pStyle w:val="Normal"/>
        <w:numPr>
          <w:ilvl w:val="0"/>
          <w:numId w:val="5"/>
        </w:numPr>
        <w:jc w:val="both"/>
        <w:rPr>
          <w:sz w:val="20"/>
        </w:rPr>
      </w:pPr>
      <w:r>
        <w:rPr>
          <w:sz w:val="20"/>
        </w:rPr>
        <w:t>Project costs through December are approximately $23.5M and commitments total $45.4M.</w:t>
      </w:r>
    </w:p>
    <w:p>
      <w:pPr>
        <w:pStyle w:val="Normal"/>
        <w:numPr>
          <w:ilvl w:val="0"/>
          <w:numId w:val="5"/>
        </w:numPr>
        <w:jc w:val="both"/>
        <w:rPr>
          <w:sz w:val="20"/>
        </w:rPr>
      </w:pPr>
      <w:r>
        <w:rPr>
          <w:sz w:val="20"/>
        </w:rPr>
        <w:t>December expenditures were $9.5K and commitments were $6.2M.</w:t>
      </w:r>
    </w:p>
    <w:p>
      <w:pPr>
        <w:pStyle w:val="Normal"/>
        <w:ind w:start="360" w:end="0"/>
        <w:jc w:val="both"/>
        <w:rPr>
          <w:sz w:val="20"/>
        </w:rPr>
      </w:pPr>
      <w:r>
        <w:rPr>
          <w:sz w:val="20"/>
        </w:rPr>
      </w:r>
    </w:p>
    <w:sectPr>
      <w:type w:val="nextPage"/>
      <w:pgSz w:w="12240" w:h="15840"/>
      <w:pgMar w:left="1260" w:right="1080" w:gutter="0" w:header="0" w:top="99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Helv;Arial" w:hAnsi="Helv;Arial" w:cs="Helv;Arial"/>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5">
    <w:name w:val="WW8Num13z5"/>
    <w:qFormat/>
    <w:rPr>
      <w:rFonts w:ascii="Wingdings" w:hAnsi="Wingdings" w:cs="Wingdings"/>
    </w:rPr>
  </w:style>
  <w:style w:type="character" w:styleId="WW8Num14z0">
    <w:name w:val="WW8Num14z0"/>
    <w:qFormat/>
    <w:rPr>
      <w:rFonts w:ascii="Symbol" w:hAnsi="Symbol" w:cs="Symbol"/>
    </w:rPr>
  </w:style>
  <w:style w:type="character" w:styleId="WW8Num15z1">
    <w:name w:val="WW8Num15z1"/>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2">
    <w:name w:val="WW8Num17z2"/>
    <w:qFormat/>
    <w:rPr>
      <w:rFonts w:ascii="Wingdings" w:hAnsi="Wingdings" w:cs="Wingdings"/>
    </w:rPr>
  </w:style>
  <w:style w:type="character" w:styleId="WW8Num17z4">
    <w:name w:val="WW8Num17z4"/>
    <w:qFormat/>
    <w:rPr>
      <w:rFonts w:ascii="Courier New" w:hAnsi="Courier New" w:cs="Courier New"/>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DefaultParagraphFont">
    <w:name w:val="Default Paragraph Font"/>
    <w:qFormat/>
    <w:rPr/>
  </w:style>
  <w:style w:type="character" w:styleId="body1">
    <w:name w:val="body1"/>
    <w:basedOn w:val="DefaultParagraphFont"/>
    <w:qFormat/>
    <w:rPr>
      <w:rFonts w:ascii="Arial" w:hAnsi="Arial" w:cs="Arial"/>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xl24">
    <w:name w:val="xl24"/>
    <w:basedOn w:val="Normal"/>
    <w:qFormat/>
    <w:pPr>
      <w:spacing w:before="100" w:after="100"/>
      <w:jc w:val="center"/>
    </w:pPr>
    <w:rPr>
      <w:rFonts w:ascii="Arial Unicode MS" w:hAnsi="Arial Unicode MS" w:eastAsia="Arial Unicode MS" w:cs="Arial Unicode MS"/>
      <w:szCs w:val="24"/>
    </w:rPr>
  </w:style>
  <w:style w:type="paragraph" w:styleId="xl25">
    <w:name w:val="xl25"/>
    <w:basedOn w:val="Normal"/>
    <w:qFormat/>
    <w:pPr>
      <w:spacing w:before="100" w:after="100"/>
      <w:jc w:val="center"/>
    </w:pPr>
    <w:rPr>
      <w:rFonts w:ascii="Arial Unicode MS" w:hAnsi="Arial Unicode MS" w:eastAsia="Arial Unicode MS" w:cs="Arial Unicode MS"/>
      <w:szCs w:val="24"/>
    </w:rPr>
  </w:style>
  <w:style w:type="paragraph" w:styleId="xl26">
    <w:name w:val="xl26"/>
    <w:basedOn w:val="Normal"/>
    <w:qFormat/>
    <w:pPr>
      <w:pBdr>
        <w:bottom w:val="single" w:sz="8" w:space="0" w:color="000000"/>
      </w:pBdr>
      <w:spacing w:before="100" w:after="100"/>
    </w:pPr>
    <w:rPr>
      <w:rFonts w:ascii="Arial Unicode MS" w:hAnsi="Arial Unicode MS" w:eastAsia="Arial Unicode MS" w:cs="Arial Unicode MS"/>
      <w:szCs w:val="24"/>
    </w:rPr>
  </w:style>
  <w:style w:type="paragraph" w:styleId="xl27">
    <w:name w:val="xl27"/>
    <w:basedOn w:val="Normal"/>
    <w:qFormat/>
    <w:pPr>
      <w:pBdr>
        <w:bottom w:val="single" w:sz="8" w:space="0" w:color="000000"/>
      </w:pBdr>
      <w:spacing w:before="100" w:after="100"/>
      <w:jc w:val="center"/>
    </w:pPr>
    <w:rPr>
      <w:rFonts w:ascii="Arial Unicode MS" w:hAnsi="Arial Unicode MS" w:eastAsia="Arial Unicode MS" w:cs="Arial Unicode MS"/>
      <w:szCs w:val="24"/>
    </w:rPr>
  </w:style>
  <w:style w:type="paragraph" w:styleId="xl28">
    <w:name w:val="xl28"/>
    <w:basedOn w:val="Normal"/>
    <w:qFormat/>
    <w:pPr>
      <w:spacing w:before="100" w:after="100"/>
    </w:pPr>
    <w:rPr>
      <w:rFonts w:eastAsia="Arial Unicode MS" w:cs="Arial"/>
      <w:b/>
      <w:bCs/>
      <w:sz w:val="28"/>
      <w:szCs w:val="28"/>
    </w:rPr>
  </w:style>
  <w:style w:type="paragraph" w:styleId="xl29">
    <w:name w:val="xl29"/>
    <w:basedOn w:val="Normal"/>
    <w:qFormat/>
    <w:pPr>
      <w:spacing w:before="100" w:after="100"/>
    </w:pPr>
    <w:rPr>
      <w:rFonts w:eastAsia="Arial Unicode MS" w:cs="Arial"/>
      <w:sz w:val="28"/>
      <w:szCs w:val="28"/>
    </w:rPr>
  </w:style>
  <w:style w:type="paragraph" w:styleId="xl30">
    <w:name w:val="xl30"/>
    <w:basedOn w:val="Normal"/>
    <w:qFormat/>
    <w:pPr>
      <w:pBdr>
        <w:left w:val="single" w:sz="8" w:space="0" w:color="000000"/>
      </w:pBdr>
      <w:spacing w:before="100" w:after="100"/>
      <w:jc w:val="center"/>
    </w:pPr>
    <w:rPr>
      <w:rFonts w:eastAsia="Arial Unicode MS" w:cs="Arial"/>
      <w:b/>
      <w:bCs/>
      <w:color w:val="000080"/>
      <w:szCs w:val="24"/>
    </w:rPr>
  </w:style>
  <w:style w:type="paragraph" w:styleId="xl31">
    <w:name w:val="xl31"/>
    <w:basedOn w:val="Normal"/>
    <w:qFormat/>
    <w:pPr>
      <w:pBdr>
        <w:left w:val="single" w:sz="8" w:space="0" w:color="000000"/>
      </w:pBdr>
      <w:spacing w:before="100" w:after="100"/>
      <w:jc w:val="center"/>
    </w:pPr>
    <w:rPr>
      <w:rFonts w:ascii="Arial Unicode MS" w:hAnsi="Arial Unicode MS" w:eastAsia="Arial Unicode MS" w:cs="Arial Unicode MS"/>
      <w:szCs w:val="24"/>
    </w:rPr>
  </w:style>
  <w:style w:type="paragraph" w:styleId="xl32">
    <w:name w:val="xl32"/>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33">
    <w:name w:val="xl33"/>
    <w:basedOn w:val="Normal"/>
    <w:qFormat/>
    <w:pPr>
      <w:spacing w:before="100" w:after="100"/>
      <w:jc w:val="center"/>
    </w:pPr>
    <w:rPr>
      <w:rFonts w:ascii="Arial Unicode MS" w:hAnsi="Arial Unicode MS" w:eastAsia="Arial Unicode MS" w:cs="Arial Unicode MS"/>
      <w:szCs w:val="24"/>
    </w:rPr>
  </w:style>
  <w:style w:type="paragraph" w:styleId="xl34">
    <w:name w:val="xl34"/>
    <w:basedOn w:val="Normal"/>
    <w:qFormat/>
    <w:pPr>
      <w:pBdr>
        <w:bottom w:val="single" w:sz="8" w:space="0" w:color="000000"/>
      </w:pBdr>
      <w:spacing w:before="100" w:after="100"/>
      <w:jc w:val="center"/>
    </w:pPr>
    <w:rPr>
      <w:rFonts w:ascii="Arial Unicode MS" w:hAnsi="Arial Unicode MS" w:eastAsia="Arial Unicode MS" w:cs="Arial Unicode MS"/>
      <w:szCs w:val="24"/>
    </w:rPr>
  </w:style>
  <w:style w:type="paragraph" w:styleId="xl35">
    <w:name w:val="xl35"/>
    <w:basedOn w:val="Normal"/>
    <w:qFormat/>
    <w:pPr>
      <w:spacing w:before="100" w:after="100"/>
    </w:pPr>
    <w:rPr>
      <w:rFonts w:eastAsia="Arial Unicode MS" w:cs="Arial"/>
      <w:sz w:val="28"/>
      <w:szCs w:val="28"/>
    </w:rPr>
  </w:style>
  <w:style w:type="paragraph" w:styleId="xl36">
    <w:name w:val="xl36"/>
    <w:basedOn w:val="Normal"/>
    <w:qFormat/>
    <w:pPr>
      <w:spacing w:before="100" w:after="100"/>
    </w:pPr>
    <w:rPr>
      <w:rFonts w:eastAsia="Arial Unicode MS" w:cs="Arial"/>
      <w:sz w:val="28"/>
      <w:szCs w:val="28"/>
    </w:rPr>
  </w:style>
  <w:style w:type="paragraph" w:styleId="xl37">
    <w:name w:val="xl37"/>
    <w:basedOn w:val="Normal"/>
    <w:qFormat/>
    <w:pPr>
      <w:spacing w:before="100" w:after="100"/>
    </w:pPr>
    <w:rPr>
      <w:rFonts w:eastAsia="Arial Unicode MS" w:cs="Arial"/>
      <w:b/>
      <w:bCs/>
      <w:sz w:val="28"/>
      <w:szCs w:val="28"/>
    </w:rPr>
  </w:style>
  <w:style w:type="paragraph" w:styleId="xl38">
    <w:name w:val="xl38"/>
    <w:basedOn w:val="Normal"/>
    <w:qFormat/>
    <w:pPr>
      <w:pBdr>
        <w:right w:val="single" w:sz="8" w:space="0" w:color="000000"/>
      </w:pBdr>
      <w:spacing w:before="100" w:after="100"/>
    </w:pPr>
    <w:rPr>
      <w:rFonts w:eastAsia="Arial Unicode MS" w:cs="Arial"/>
      <w:b/>
      <w:bCs/>
      <w:szCs w:val="24"/>
    </w:rPr>
  </w:style>
  <w:style w:type="paragraph" w:styleId="xl39">
    <w:name w:val="xl39"/>
    <w:basedOn w:val="Normal"/>
    <w:qFormat/>
    <w:pPr>
      <w:pBdr>
        <w:right w:val="single" w:sz="8" w:space="0" w:color="000000"/>
      </w:pBdr>
      <w:spacing w:before="100" w:after="100"/>
    </w:pPr>
    <w:rPr>
      <w:rFonts w:ascii="Arial Unicode MS" w:hAnsi="Arial Unicode MS" w:eastAsia="Arial Unicode MS" w:cs="Arial Unicode MS"/>
      <w:szCs w:val="24"/>
    </w:rPr>
  </w:style>
  <w:style w:type="paragraph" w:styleId="xl40">
    <w:name w:val="xl40"/>
    <w:basedOn w:val="Normal"/>
    <w:qFormat/>
    <w:pPr>
      <w:pBdr>
        <w:left w:val="single" w:sz="8" w:space="0" w:color="000000"/>
      </w:pBdr>
      <w:spacing w:before="100" w:after="100"/>
      <w:jc w:val="center"/>
    </w:pPr>
    <w:rPr>
      <w:rFonts w:eastAsia="Arial Unicode MS" w:cs="Arial"/>
      <w:b/>
      <w:bCs/>
      <w:color w:val="000080"/>
      <w:szCs w:val="24"/>
    </w:rPr>
  </w:style>
  <w:style w:type="paragraph" w:styleId="xl41">
    <w:name w:val="xl41"/>
    <w:basedOn w:val="Normal"/>
    <w:qFormat/>
    <w:pPr>
      <w:pBdr>
        <w:left w:val="single" w:sz="8" w:space="0" w:color="000000"/>
      </w:pBdr>
      <w:spacing w:before="100" w:after="100"/>
      <w:jc w:val="center"/>
    </w:pPr>
    <w:rPr>
      <w:rFonts w:ascii="Arial Unicode MS" w:hAnsi="Arial Unicode MS" w:eastAsia="Arial Unicode MS" w:cs="Arial Unicode MS"/>
      <w:szCs w:val="24"/>
    </w:rPr>
  </w:style>
  <w:style w:type="paragraph" w:styleId="xl42">
    <w:name w:val="xl42"/>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43">
    <w:name w:val="xl43"/>
    <w:basedOn w:val="Normal"/>
    <w:qFormat/>
    <w:pPr>
      <w:pBdr>
        <w:left w:val="single" w:sz="8" w:space="0" w:color="000000"/>
      </w:pBdr>
      <w:spacing w:before="100" w:after="100"/>
      <w:jc w:val="center"/>
    </w:pPr>
    <w:rPr>
      <w:rFonts w:eastAsia="Arial Unicode MS" w:cs="Arial"/>
      <w:b/>
      <w:bCs/>
      <w:color w:val="000080"/>
      <w:szCs w:val="24"/>
    </w:rPr>
  </w:style>
  <w:style w:type="paragraph" w:styleId="xl44">
    <w:name w:val="xl44"/>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45">
    <w:name w:val="xl45"/>
    <w:basedOn w:val="Normal"/>
    <w:qFormat/>
    <w:pPr>
      <w:spacing w:before="100" w:after="100"/>
    </w:pPr>
    <w:rPr>
      <w:rFonts w:eastAsia="Arial Unicode MS" w:cs="Arial"/>
      <w:b/>
      <w:bCs/>
      <w:sz w:val="32"/>
      <w:szCs w:val="32"/>
    </w:rPr>
  </w:style>
  <w:style w:type="paragraph" w:styleId="xl46">
    <w:name w:val="xl46"/>
    <w:basedOn w:val="Normal"/>
    <w:qFormat/>
    <w:pPr>
      <w:spacing w:before="100" w:after="100"/>
    </w:pPr>
    <w:rPr>
      <w:rFonts w:eastAsia="Arial Unicode MS" w:cs="Arial"/>
      <w:b/>
      <w:bCs/>
      <w:sz w:val="28"/>
      <w:szCs w:val="28"/>
    </w:rPr>
  </w:style>
  <w:style w:type="paragraph" w:styleId="xl47">
    <w:name w:val="xl47"/>
    <w:basedOn w:val="Normal"/>
    <w:qFormat/>
    <w:pPr>
      <w:pBdr>
        <w:left w:val="single" w:sz="8" w:space="0" w:color="000000"/>
        <w:right w:val="single" w:sz="8" w:space="0" w:color="000000"/>
      </w:pBdr>
      <w:spacing w:before="100" w:after="100"/>
      <w:jc w:val="center"/>
    </w:pPr>
    <w:rPr>
      <w:rFonts w:eastAsia="Arial Unicode MS" w:cs="Arial"/>
      <w:b/>
      <w:bCs/>
      <w:color w:val="000080"/>
      <w:szCs w:val="24"/>
    </w:rPr>
  </w:style>
  <w:style w:type="paragraph" w:styleId="xl48">
    <w:name w:val="xl48"/>
    <w:basedOn w:val="Normal"/>
    <w:qFormat/>
    <w:pPr>
      <w:spacing w:before="100" w:after="100"/>
      <w:jc w:val="center"/>
    </w:pPr>
    <w:rPr>
      <w:rFonts w:eastAsia="Arial Unicode MS" w:cs="Arial"/>
      <w:b/>
      <w:bCs/>
      <w:szCs w:val="24"/>
    </w:rPr>
  </w:style>
  <w:style w:type="paragraph" w:styleId="xl49">
    <w:name w:val="xl49"/>
    <w:basedOn w:val="Normal"/>
    <w:qFormat/>
    <w:pPr>
      <w:pBdr>
        <w:bottom w:val="single" w:sz="8" w:space="0" w:color="000000"/>
      </w:pBdr>
      <w:spacing w:before="100" w:after="100"/>
      <w:jc w:val="center"/>
    </w:pPr>
    <w:rPr>
      <w:rFonts w:eastAsia="Arial Unicode MS" w:cs="Arial"/>
      <w:b/>
      <w:bCs/>
      <w:szCs w:val="24"/>
    </w:rPr>
  </w:style>
  <w:style w:type="paragraph" w:styleId="xl50">
    <w:name w:val="xl50"/>
    <w:basedOn w:val="Normal"/>
    <w:qFormat/>
    <w:pPr>
      <w:pBdr>
        <w:top w:val="single" w:sz="8" w:space="0" w:color="000000"/>
        <w:left w:val="single" w:sz="8" w:space="0" w:color="000000"/>
      </w:pBdr>
      <w:spacing w:before="100" w:after="100"/>
    </w:pPr>
    <w:rPr>
      <w:rFonts w:eastAsia="Arial Unicode MS" w:cs="Arial"/>
      <w:b/>
      <w:bCs/>
      <w:i/>
      <w:iCs/>
      <w:sz w:val="16"/>
      <w:szCs w:val="16"/>
    </w:rPr>
  </w:style>
  <w:style w:type="paragraph" w:styleId="xl51">
    <w:name w:val="xl51"/>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52">
    <w:name w:val="xl52"/>
    <w:basedOn w:val="Normal"/>
    <w:qFormat/>
    <w:pPr>
      <w:spacing w:before="100" w:after="100"/>
      <w:jc w:val="center"/>
    </w:pPr>
    <w:rPr>
      <w:rFonts w:eastAsia="Arial Unicode MS" w:cs="Arial"/>
      <w:b/>
      <w:bCs/>
      <w:szCs w:val="24"/>
    </w:rPr>
  </w:style>
  <w:style w:type="paragraph" w:styleId="xl53">
    <w:name w:val="xl53"/>
    <w:basedOn w:val="Normal"/>
    <w:qFormat/>
    <w:pPr>
      <w:spacing w:before="100" w:after="100"/>
      <w:jc w:val="center"/>
    </w:pPr>
    <w:rPr>
      <w:rFonts w:eastAsia="Arial Unicode MS" w:cs="Arial"/>
      <w:szCs w:val="24"/>
    </w:rPr>
  </w:style>
  <w:style w:type="paragraph" w:styleId="xl54">
    <w:name w:val="xl54"/>
    <w:basedOn w:val="Normal"/>
    <w:qFormat/>
    <w:pPr>
      <w:pBdr>
        <w:bottom w:val="single" w:sz="8" w:space="0" w:color="000000"/>
      </w:pBdr>
      <w:spacing w:before="100" w:after="100"/>
      <w:jc w:val="center"/>
    </w:pPr>
    <w:rPr>
      <w:rFonts w:eastAsia="Arial Unicode MS" w:cs="Arial"/>
      <w:szCs w:val="24"/>
    </w:rPr>
  </w:style>
  <w:style w:type="paragraph" w:styleId="xl55">
    <w:name w:val="xl55"/>
    <w:basedOn w:val="Normal"/>
    <w:qFormat/>
    <w:pPr>
      <w:pBdr>
        <w:left w:val="single" w:sz="8" w:space="0" w:color="000000"/>
      </w:pBdr>
      <w:spacing w:before="100" w:after="100"/>
      <w:jc w:val="center"/>
    </w:pPr>
    <w:rPr>
      <w:rFonts w:eastAsia="Arial Unicode MS" w:cs="Arial"/>
      <w:szCs w:val="24"/>
    </w:rPr>
  </w:style>
  <w:style w:type="paragraph" w:styleId="xl56">
    <w:name w:val="xl56"/>
    <w:basedOn w:val="Normal"/>
    <w:qFormat/>
    <w:pPr>
      <w:spacing w:before="100" w:after="100"/>
      <w:jc w:val="center"/>
    </w:pPr>
    <w:rPr>
      <w:rFonts w:eastAsia="Arial Unicode MS" w:cs="Arial"/>
      <w:szCs w:val="24"/>
    </w:rPr>
  </w:style>
  <w:style w:type="paragraph" w:styleId="xl57">
    <w:name w:val="xl57"/>
    <w:basedOn w:val="Normal"/>
    <w:qFormat/>
    <w:pPr>
      <w:pBdr>
        <w:top w:val="single" w:sz="8" w:space="0" w:color="000000"/>
        <w:left w:val="single" w:sz="8" w:space="0" w:color="000000"/>
      </w:pBdr>
      <w:spacing w:before="100" w:after="100"/>
      <w:jc w:val="center"/>
    </w:pPr>
    <w:rPr>
      <w:rFonts w:eastAsia="Arial Unicode MS" w:cs="Arial"/>
      <w:b/>
      <w:bCs/>
      <w:i/>
      <w:iCs/>
      <w:sz w:val="16"/>
      <w:szCs w:val="16"/>
    </w:rPr>
  </w:style>
  <w:style w:type="paragraph" w:styleId="xl58">
    <w:name w:val="xl58"/>
    <w:basedOn w:val="Normal"/>
    <w:qFormat/>
    <w:pPr>
      <w:pBdr>
        <w:top w:val="single" w:sz="8" w:space="0" w:color="000000"/>
        <w:left w:val="single" w:sz="8" w:space="0" w:color="000000"/>
        <w:right w:val="single" w:sz="8" w:space="0" w:color="000000"/>
      </w:pBdr>
      <w:spacing w:before="100" w:after="100"/>
    </w:pPr>
    <w:rPr>
      <w:rFonts w:eastAsia="Arial Unicode MS" w:cs="Arial"/>
      <w:b/>
      <w:bCs/>
      <w:i/>
      <w:iCs/>
      <w:sz w:val="16"/>
      <w:szCs w:val="16"/>
    </w:rPr>
  </w:style>
  <w:style w:type="paragraph" w:styleId="xl59">
    <w:name w:val="xl59"/>
    <w:basedOn w:val="Normal"/>
    <w:qFormat/>
    <w:pPr>
      <w:pBdr>
        <w:top w:val="single" w:sz="8" w:space="0" w:color="000000"/>
        <w:right w:val="single" w:sz="8" w:space="0" w:color="000000"/>
      </w:pBdr>
      <w:spacing w:before="100" w:after="100"/>
      <w:jc w:val="center"/>
    </w:pPr>
    <w:rPr>
      <w:rFonts w:eastAsia="Arial Unicode MS" w:cs="Arial"/>
      <w:b/>
      <w:bCs/>
      <w:i/>
      <w:iCs/>
      <w:sz w:val="16"/>
      <w:szCs w:val="16"/>
    </w:rPr>
  </w:style>
  <w:style w:type="paragraph" w:styleId="xl60">
    <w:name w:val="xl60"/>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61">
    <w:name w:val="xl61"/>
    <w:basedOn w:val="Normal"/>
    <w:qFormat/>
    <w:pPr>
      <w:pBdr>
        <w:left w:val="single" w:sz="8" w:space="0" w:color="000000"/>
        <w:bottom w:val="single" w:sz="8" w:space="0" w:color="000000"/>
        <w:right w:val="single" w:sz="8" w:space="0" w:color="000000"/>
      </w:pBdr>
      <w:spacing w:before="100" w:after="100"/>
      <w:jc w:val="center"/>
    </w:pPr>
    <w:rPr>
      <w:rFonts w:eastAsia="Arial Unicode MS" w:cs="Arial"/>
      <w:b/>
      <w:bCs/>
      <w:i/>
      <w:iCs/>
      <w:szCs w:val="24"/>
    </w:rPr>
  </w:style>
  <w:style w:type="paragraph" w:styleId="xl62">
    <w:name w:val="xl62"/>
    <w:basedOn w:val="Normal"/>
    <w:qFormat/>
    <w:pPr>
      <w:pBdr>
        <w:bottom w:val="single" w:sz="8" w:space="0" w:color="000000"/>
        <w:right w:val="single" w:sz="8" w:space="0" w:color="000000"/>
      </w:pBdr>
      <w:spacing w:before="100" w:after="100"/>
    </w:pPr>
    <w:rPr>
      <w:rFonts w:eastAsia="Arial Unicode MS" w:cs="Arial"/>
      <w:b/>
      <w:bCs/>
      <w:i/>
      <w:iCs/>
      <w:szCs w:val="24"/>
    </w:rPr>
  </w:style>
  <w:style w:type="paragraph" w:styleId="xl63">
    <w:name w:val="xl63"/>
    <w:basedOn w:val="Normal"/>
    <w:qFormat/>
    <w:pPr>
      <w:pBdr>
        <w:left w:val="single" w:sz="8" w:space="0" w:color="000000"/>
        <w:right w:val="single" w:sz="8" w:space="0" w:color="000000"/>
      </w:pBdr>
      <w:spacing w:before="100" w:after="100"/>
      <w:jc w:val="center"/>
    </w:pPr>
    <w:rPr>
      <w:rFonts w:eastAsia="Arial Unicode MS" w:cs="Arial"/>
      <w:b/>
      <w:bCs/>
      <w:szCs w:val="24"/>
    </w:rPr>
  </w:style>
  <w:style w:type="paragraph" w:styleId="xl64">
    <w:name w:val="xl64"/>
    <w:basedOn w:val="Normal"/>
    <w:qFormat/>
    <w:pPr>
      <w:pBdr>
        <w:top w:val="single" w:sz="4" w:space="0" w:color="000000"/>
        <w:bottom w:val="double" w:sz="6" w:space="0" w:color="000000"/>
      </w:pBdr>
      <w:spacing w:before="100" w:after="100"/>
      <w:jc w:val="center"/>
    </w:pPr>
    <w:rPr>
      <w:rFonts w:eastAsia="Arial Unicode MS" w:cs="Arial"/>
      <w:szCs w:val="24"/>
    </w:rPr>
  </w:style>
  <w:style w:type="paragraph" w:styleId="xl65">
    <w:name w:val="xl65"/>
    <w:basedOn w:val="Normal"/>
    <w:qFormat/>
    <w:pPr>
      <w:pBdr>
        <w:top w:val="single" w:sz="4" w:space="0" w:color="000000"/>
        <w:bottom w:val="double" w:sz="6" w:space="0" w:color="000000"/>
      </w:pBdr>
      <w:spacing w:before="100" w:after="100"/>
      <w:jc w:val="center"/>
    </w:pPr>
    <w:rPr>
      <w:rFonts w:eastAsia="Arial Unicode MS" w:cs="Arial"/>
      <w:b/>
      <w:bCs/>
      <w:szCs w:val="24"/>
    </w:rPr>
  </w:style>
  <w:style w:type="paragraph" w:styleId="xl66">
    <w:name w:val="xl66"/>
    <w:basedOn w:val="Normal"/>
    <w:qFormat/>
    <w:pPr>
      <w:pBdr>
        <w:top w:val="single" w:sz="4" w:space="0" w:color="000000"/>
        <w:bottom w:val="double" w:sz="6" w:space="0" w:color="000000"/>
        <w:right w:val="single" w:sz="8" w:space="0" w:color="000000"/>
      </w:pBdr>
      <w:spacing w:before="100" w:after="100"/>
      <w:jc w:val="center"/>
    </w:pPr>
    <w:rPr>
      <w:rFonts w:eastAsia="Arial Unicode MS" w:cs="Arial"/>
      <w:szCs w:val="24"/>
    </w:rPr>
  </w:style>
  <w:style w:type="paragraph" w:styleId="xl67">
    <w:name w:val="xl67"/>
    <w:basedOn w:val="Normal"/>
    <w:qFormat/>
    <w:pPr>
      <w:pBdr>
        <w:top w:val="single" w:sz="8" w:space="0" w:color="000000"/>
      </w:pBdr>
      <w:spacing w:before="100" w:after="100"/>
    </w:pPr>
    <w:rPr>
      <w:rFonts w:eastAsia="Arial Unicode MS" w:cs="Arial"/>
      <w:b/>
      <w:bCs/>
      <w:i/>
      <w:iCs/>
      <w:sz w:val="16"/>
      <w:szCs w:val="16"/>
    </w:rPr>
  </w:style>
  <w:style w:type="paragraph" w:styleId="xl68">
    <w:name w:val="xl68"/>
    <w:basedOn w:val="Normal"/>
    <w:qFormat/>
    <w:pPr>
      <w:spacing w:before="100" w:after="100"/>
      <w:jc w:val="center"/>
    </w:pPr>
    <w:rPr>
      <w:rFonts w:eastAsia="Arial Unicode MS" w:cs="Arial"/>
      <w:b/>
      <w:bCs/>
      <w:color w:val="000080"/>
      <w:szCs w:val="24"/>
    </w:rPr>
  </w:style>
  <w:style w:type="paragraph" w:styleId="xl69">
    <w:name w:val="xl69"/>
    <w:basedOn w:val="Normal"/>
    <w:qFormat/>
    <w:pPr>
      <w:pBdr>
        <w:left w:val="single" w:sz="8" w:space="0" w:color="000000"/>
        <w:bottom w:val="double" w:sz="6" w:space="0" w:color="000000"/>
      </w:pBdr>
      <w:spacing w:before="100" w:after="100"/>
      <w:jc w:val="center"/>
    </w:pPr>
    <w:rPr>
      <w:rFonts w:eastAsia="Arial Unicode MS" w:cs="Arial"/>
      <w:szCs w:val="24"/>
    </w:rPr>
  </w:style>
  <w:style w:type="paragraph" w:styleId="xl70">
    <w:name w:val="xl70"/>
    <w:basedOn w:val="Normal"/>
    <w:qFormat/>
    <w:pPr>
      <w:pBdr>
        <w:bottom w:val="double" w:sz="6" w:space="0" w:color="000000"/>
      </w:pBdr>
      <w:spacing w:before="100" w:after="100"/>
      <w:jc w:val="center"/>
    </w:pPr>
    <w:rPr>
      <w:rFonts w:eastAsia="Arial Unicode MS" w:cs="Arial"/>
      <w:b/>
      <w:bCs/>
      <w:szCs w:val="24"/>
    </w:rPr>
  </w:style>
  <w:style w:type="paragraph" w:styleId="xl71">
    <w:name w:val="xl71"/>
    <w:basedOn w:val="Normal"/>
    <w:qFormat/>
    <w:pPr>
      <w:pBdr>
        <w:bottom w:val="double" w:sz="6" w:space="0" w:color="000000"/>
        <w:right w:val="single" w:sz="8" w:space="0" w:color="000000"/>
      </w:pBdr>
      <w:spacing w:before="100" w:after="100"/>
    </w:pPr>
    <w:rPr>
      <w:rFonts w:eastAsia="Arial Unicode MS" w:cs="Arial"/>
      <w:b/>
      <w:bCs/>
      <w:szCs w:val="24"/>
    </w:rPr>
  </w:style>
  <w:style w:type="paragraph" w:styleId="xl72">
    <w:name w:val="xl72"/>
    <w:basedOn w:val="Normal"/>
    <w:qFormat/>
    <w:pPr>
      <w:pBdr>
        <w:bottom w:val="single" w:sz="8" w:space="0" w:color="000000"/>
      </w:pBdr>
      <w:spacing w:before="100" w:after="100"/>
      <w:jc w:val="center"/>
    </w:pPr>
    <w:rPr>
      <w:rFonts w:eastAsia="Arial Unicode MS" w:cs="Arial"/>
      <w:b/>
      <w:bCs/>
      <w:i/>
      <w:iCs/>
      <w:szCs w:val="24"/>
    </w:rPr>
  </w:style>
  <w:style w:type="paragraph" w:styleId="xl73">
    <w:name w:val="xl73"/>
    <w:basedOn w:val="Normal"/>
    <w:qFormat/>
    <w:pPr>
      <w:pBdr>
        <w:left w:val="single" w:sz="8" w:space="0" w:color="000000"/>
        <w:bottom w:val="single" w:sz="4" w:space="0" w:color="000000"/>
      </w:pBdr>
      <w:spacing w:before="100" w:after="100"/>
      <w:jc w:val="center"/>
    </w:pPr>
    <w:rPr>
      <w:rFonts w:eastAsia="Arial Unicode MS" w:cs="Arial"/>
      <w:szCs w:val="24"/>
    </w:rPr>
  </w:style>
  <w:style w:type="paragraph" w:styleId="xl74">
    <w:name w:val="xl74"/>
    <w:basedOn w:val="Normal"/>
    <w:qFormat/>
    <w:pPr>
      <w:pBdr>
        <w:bottom w:val="single" w:sz="4" w:space="0" w:color="000000"/>
      </w:pBdr>
      <w:spacing w:before="100" w:after="100"/>
      <w:jc w:val="center"/>
    </w:pPr>
    <w:rPr>
      <w:rFonts w:eastAsia="Arial Unicode MS" w:cs="Arial"/>
      <w:b/>
      <w:bCs/>
      <w:szCs w:val="24"/>
    </w:rPr>
  </w:style>
  <w:style w:type="paragraph" w:styleId="xl75">
    <w:name w:val="xl75"/>
    <w:basedOn w:val="Normal"/>
    <w:qFormat/>
    <w:pPr>
      <w:pBdr>
        <w:bottom w:val="single" w:sz="4" w:space="0" w:color="000000"/>
        <w:right w:val="single" w:sz="8" w:space="0" w:color="000000"/>
      </w:pBdr>
      <w:spacing w:before="100" w:after="100"/>
    </w:pPr>
    <w:rPr>
      <w:rFonts w:ascii="Arial Unicode MS" w:hAnsi="Arial Unicode MS" w:eastAsia="Arial Unicode MS" w:cs="Arial Unicode MS"/>
      <w:szCs w:val="24"/>
    </w:rPr>
  </w:style>
  <w:style w:type="paragraph" w:styleId="xl76">
    <w:name w:val="xl76"/>
    <w:basedOn w:val="Normal"/>
    <w:qFormat/>
    <w:pPr>
      <w:pBdr>
        <w:left w:val="single" w:sz="8" w:space="0" w:color="000000"/>
        <w:right w:val="single" w:sz="8" w:space="0" w:color="000000"/>
      </w:pBdr>
      <w:spacing w:before="100" w:after="100"/>
      <w:jc w:val="center"/>
    </w:pPr>
    <w:rPr>
      <w:rFonts w:ascii="Arial Unicode MS" w:hAnsi="Arial Unicode MS" w:eastAsia="Arial Unicode MS" w:cs="Arial Unicode MS"/>
      <w:szCs w:val="24"/>
    </w:rPr>
  </w:style>
  <w:style w:type="paragraph" w:styleId="xl77">
    <w:name w:val="xl77"/>
    <w:basedOn w:val="Normal"/>
    <w:qFormat/>
    <w:pPr>
      <w:pBdr>
        <w:left w:val="single" w:sz="8" w:space="0" w:color="000000"/>
        <w:bottom w:val="single" w:sz="4" w:space="0" w:color="000000"/>
        <w:right w:val="single" w:sz="8" w:space="0" w:color="000000"/>
      </w:pBdr>
      <w:spacing w:before="100" w:after="100"/>
      <w:jc w:val="center"/>
    </w:pPr>
    <w:rPr>
      <w:rFonts w:ascii="Arial Unicode MS" w:hAnsi="Arial Unicode MS" w:eastAsia="Arial Unicode MS" w:cs="Arial Unicode MS"/>
      <w:szCs w:val="24"/>
    </w:rPr>
  </w:style>
  <w:style w:type="paragraph" w:styleId="xl78">
    <w:name w:val="xl78"/>
    <w:basedOn w:val="Normal"/>
    <w:qFormat/>
    <w:pPr>
      <w:pBdr>
        <w:left w:val="single" w:sz="8" w:space="0" w:color="000000"/>
        <w:bottom w:val="single" w:sz="4" w:space="0" w:color="000000"/>
        <w:right w:val="single" w:sz="8" w:space="0" w:color="000000"/>
      </w:pBdr>
      <w:spacing w:before="100" w:after="100"/>
      <w:jc w:val="center"/>
    </w:pPr>
    <w:rPr>
      <w:rFonts w:eastAsia="Arial Unicode MS" w:cs="Arial"/>
      <w:b/>
      <w:bCs/>
      <w:szCs w:val="24"/>
    </w:rPr>
  </w:style>
  <w:style w:type="paragraph" w:styleId="xl79">
    <w:name w:val="xl79"/>
    <w:basedOn w:val="Normal"/>
    <w:qFormat/>
    <w:pPr>
      <w:pBdr>
        <w:right w:val="single" w:sz="8" w:space="0" w:color="000000"/>
      </w:pBdr>
      <w:spacing w:before="100" w:after="100"/>
      <w:jc w:val="center"/>
    </w:pPr>
    <w:rPr>
      <w:rFonts w:eastAsia="Arial Unicode MS" w:cs="Arial"/>
      <w:szCs w:val="24"/>
    </w:rPr>
  </w:style>
  <w:style w:type="paragraph" w:styleId="xl80">
    <w:name w:val="xl80"/>
    <w:basedOn w:val="Normal"/>
    <w:qFormat/>
    <w:pPr>
      <w:pBdr>
        <w:left w:val="single" w:sz="8" w:space="0" w:color="000000"/>
        <w:bottom w:val="single" w:sz="4" w:space="0" w:color="000000"/>
      </w:pBdr>
      <w:spacing w:before="100" w:after="100"/>
      <w:jc w:val="center"/>
    </w:pPr>
    <w:rPr>
      <w:rFonts w:ascii="Arial Unicode MS" w:hAnsi="Arial Unicode MS" w:eastAsia="Arial Unicode MS" w:cs="Arial Unicode MS"/>
      <w:szCs w:val="24"/>
    </w:rPr>
  </w:style>
  <w:style w:type="paragraph" w:styleId="xl81">
    <w:name w:val="xl81"/>
    <w:basedOn w:val="Normal"/>
    <w:qFormat/>
    <w:pPr>
      <w:pBdr>
        <w:bottom w:val="single" w:sz="4" w:space="0" w:color="000000"/>
      </w:pBdr>
      <w:spacing w:before="100" w:after="100"/>
      <w:jc w:val="center"/>
    </w:pPr>
    <w:rPr>
      <w:rFonts w:eastAsia="Arial Unicode MS" w:cs="Arial"/>
      <w:szCs w:val="24"/>
    </w:rPr>
  </w:style>
  <w:style w:type="paragraph" w:styleId="xl82">
    <w:name w:val="xl82"/>
    <w:basedOn w:val="Normal"/>
    <w:qFormat/>
    <w:pPr>
      <w:pBdr>
        <w:bottom w:val="single" w:sz="4" w:space="0" w:color="000000"/>
        <w:right w:val="single" w:sz="8" w:space="0" w:color="000000"/>
      </w:pBdr>
      <w:spacing w:before="100" w:after="100"/>
      <w:jc w:val="center"/>
    </w:pPr>
    <w:rPr>
      <w:rFonts w:eastAsia="Arial Unicode MS" w:cs="Arial"/>
      <w:szCs w:val="24"/>
    </w:rPr>
  </w:style>
  <w:style w:type="paragraph" w:styleId="xl83">
    <w:name w:val="xl83"/>
    <w:basedOn w:val="Normal"/>
    <w:qFormat/>
    <w:pPr>
      <w:pBdr>
        <w:top w:val="single" w:sz="8" w:space="0" w:color="000000"/>
        <w:left w:val="single" w:sz="8" w:space="0" w:color="000000"/>
      </w:pBdr>
      <w:spacing w:before="100" w:after="100"/>
    </w:pPr>
    <w:rPr>
      <w:rFonts w:eastAsia="Arial Unicode MS" w:cs="Arial"/>
      <w:b/>
      <w:bCs/>
      <w:i/>
      <w:iCs/>
      <w:sz w:val="16"/>
      <w:szCs w:val="16"/>
    </w:rPr>
  </w:style>
  <w:style w:type="paragraph" w:styleId="xl84">
    <w:name w:val="xl84"/>
    <w:basedOn w:val="Normal"/>
    <w:qFormat/>
    <w:pPr>
      <w:pBdr>
        <w:top w:val="single" w:sz="8" w:space="0" w:color="000000"/>
        <w:right w:val="single" w:sz="8" w:space="0" w:color="000000"/>
      </w:pBdr>
      <w:spacing w:before="100" w:after="100"/>
    </w:pPr>
    <w:rPr>
      <w:rFonts w:eastAsia="Arial Unicode MS" w:cs="Arial"/>
      <w:b/>
      <w:bCs/>
      <w:i/>
      <w:iCs/>
      <w:sz w:val="16"/>
      <w:szCs w:val="16"/>
    </w:rPr>
  </w:style>
  <w:style w:type="paragraph" w:styleId="xl85">
    <w:name w:val="xl85"/>
    <w:basedOn w:val="Normal"/>
    <w:qFormat/>
    <w:pPr>
      <w:pBdr>
        <w:right w:val="single" w:sz="8" w:space="0" w:color="000000"/>
      </w:pBdr>
      <w:spacing w:before="100" w:after="100"/>
      <w:jc w:val="center"/>
    </w:pPr>
    <w:rPr>
      <w:rFonts w:eastAsia="Arial Unicode MS" w:cs="Arial"/>
      <w:b/>
      <w:bCs/>
      <w:color w:val="000080"/>
      <w:szCs w:val="24"/>
    </w:rPr>
  </w:style>
  <w:style w:type="paragraph" w:styleId="xl86">
    <w:name w:val="xl86"/>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87">
    <w:name w:val="xl87"/>
    <w:basedOn w:val="Normal"/>
    <w:qFormat/>
    <w:pPr>
      <w:pBdr>
        <w:bottom w:val="single" w:sz="8" w:space="0" w:color="000000"/>
        <w:right w:val="single" w:sz="8" w:space="0" w:color="000000"/>
      </w:pBdr>
      <w:spacing w:before="100" w:after="100"/>
      <w:jc w:val="center"/>
    </w:pPr>
    <w:rPr>
      <w:rFonts w:eastAsia="Arial Unicode MS" w:cs="Arial"/>
      <w:b/>
      <w:bCs/>
      <w:i/>
      <w:iCs/>
      <w:szCs w:val="24"/>
    </w:rPr>
  </w:style>
  <w:style w:type="paragraph" w:styleId="xl88">
    <w:name w:val="xl88"/>
    <w:basedOn w:val="Normal"/>
    <w:qFormat/>
    <w:pPr>
      <w:pBdr>
        <w:top w:val="single" w:sz="8" w:space="0" w:color="000000"/>
        <w:left w:val="single" w:sz="8" w:space="0" w:color="000000"/>
      </w:pBdr>
      <w:spacing w:before="100" w:after="100"/>
      <w:jc w:val="center"/>
    </w:pPr>
    <w:rPr>
      <w:rFonts w:ascii="Arial Unicode MS" w:hAnsi="Arial Unicode MS" w:eastAsia="Arial Unicode MS" w:cs="Arial Unicode MS"/>
      <w:szCs w:val="24"/>
    </w:rPr>
  </w:style>
  <w:style w:type="paragraph" w:styleId="xl89">
    <w:name w:val="xl89"/>
    <w:basedOn w:val="Normal"/>
    <w:qFormat/>
    <w:pPr>
      <w:pBdr>
        <w:top w:val="single" w:sz="8" w:space="0" w:color="000000"/>
      </w:pBdr>
      <w:spacing w:before="100" w:after="100"/>
      <w:jc w:val="center"/>
    </w:pPr>
    <w:rPr>
      <w:rFonts w:eastAsia="Arial Unicode MS" w:cs="Arial"/>
      <w:szCs w:val="24"/>
    </w:rPr>
  </w:style>
  <w:style w:type="paragraph" w:styleId="xl90">
    <w:name w:val="xl90"/>
    <w:basedOn w:val="Normal"/>
    <w:qFormat/>
    <w:pPr>
      <w:pBdr>
        <w:top w:val="single" w:sz="8" w:space="0" w:color="000000"/>
        <w:right w:val="single" w:sz="8" w:space="0" w:color="000000"/>
      </w:pBdr>
      <w:spacing w:before="100" w:after="100"/>
      <w:jc w:val="center"/>
    </w:pPr>
    <w:rPr>
      <w:rFonts w:eastAsia="Arial Unicode MS" w:cs="Arial"/>
      <w:szCs w:val="24"/>
    </w:rPr>
  </w:style>
  <w:style w:type="paragraph" w:styleId="xl91">
    <w:name w:val="xl91"/>
    <w:basedOn w:val="Normal"/>
    <w:qFormat/>
    <w:pPr>
      <w:pBdr>
        <w:top w:val="single" w:sz="8" w:space="0" w:color="000000"/>
        <w:right w:val="single" w:sz="4" w:space="0" w:color="000000"/>
      </w:pBdr>
      <w:spacing w:before="100" w:after="100"/>
    </w:pPr>
    <w:rPr>
      <w:rFonts w:eastAsia="Arial Unicode MS" w:cs="Arial"/>
      <w:b/>
      <w:bCs/>
      <w:i/>
      <w:iCs/>
      <w:sz w:val="16"/>
      <w:szCs w:val="16"/>
    </w:rPr>
  </w:style>
  <w:style w:type="paragraph" w:styleId="xl92">
    <w:name w:val="xl92"/>
    <w:basedOn w:val="Normal"/>
    <w:qFormat/>
    <w:pPr>
      <w:pBdr>
        <w:top w:val="single" w:sz="8" w:space="0" w:color="000000"/>
        <w:left w:val="single" w:sz="4" w:space="0" w:color="000000"/>
      </w:pBdr>
      <w:spacing w:before="100" w:after="100"/>
    </w:pPr>
    <w:rPr>
      <w:rFonts w:eastAsia="Arial Unicode MS" w:cs="Arial"/>
      <w:b/>
      <w:bCs/>
      <w:i/>
      <w:iCs/>
      <w:sz w:val="16"/>
      <w:szCs w:val="16"/>
    </w:rPr>
  </w:style>
  <w:style w:type="paragraph" w:styleId="xl93">
    <w:name w:val="xl93"/>
    <w:basedOn w:val="Normal"/>
    <w:qFormat/>
    <w:pPr>
      <w:pBdr>
        <w:right w:val="single" w:sz="4" w:space="0" w:color="000000"/>
      </w:pBdr>
      <w:spacing w:before="100" w:after="100"/>
      <w:jc w:val="center"/>
    </w:pPr>
    <w:rPr>
      <w:rFonts w:eastAsia="Arial Unicode MS" w:cs="Arial"/>
      <w:b/>
      <w:bCs/>
      <w:color w:val="000080"/>
      <w:szCs w:val="24"/>
    </w:rPr>
  </w:style>
  <w:style w:type="paragraph" w:styleId="xl94">
    <w:name w:val="xl94"/>
    <w:basedOn w:val="Normal"/>
    <w:qFormat/>
    <w:pPr>
      <w:pBdr>
        <w:left w:val="single" w:sz="4" w:space="0" w:color="000000"/>
      </w:pBdr>
      <w:spacing w:before="100" w:after="100"/>
      <w:jc w:val="center"/>
    </w:pPr>
    <w:rPr>
      <w:rFonts w:eastAsia="Arial Unicode MS" w:cs="Arial"/>
      <w:b/>
      <w:bCs/>
      <w:color w:val="000080"/>
      <w:szCs w:val="24"/>
    </w:rPr>
  </w:style>
  <w:style w:type="paragraph" w:styleId="xl95">
    <w:name w:val="xl95"/>
    <w:basedOn w:val="Normal"/>
    <w:qFormat/>
    <w:pPr>
      <w:pBdr>
        <w:bottom w:val="single" w:sz="8" w:space="0" w:color="000000"/>
        <w:right w:val="single" w:sz="4" w:space="0" w:color="000000"/>
      </w:pBdr>
      <w:spacing w:before="100" w:after="100"/>
      <w:jc w:val="center"/>
    </w:pPr>
    <w:rPr>
      <w:rFonts w:eastAsia="Arial Unicode MS" w:cs="Arial"/>
      <w:b/>
      <w:bCs/>
      <w:i/>
      <w:iCs/>
      <w:szCs w:val="24"/>
    </w:rPr>
  </w:style>
  <w:style w:type="paragraph" w:styleId="xl96">
    <w:name w:val="xl96"/>
    <w:basedOn w:val="Normal"/>
    <w:qFormat/>
    <w:pPr>
      <w:pBdr>
        <w:left w:val="single" w:sz="4" w:space="0" w:color="000000"/>
        <w:bottom w:val="single" w:sz="8" w:space="0" w:color="000000"/>
      </w:pBdr>
      <w:spacing w:before="100" w:after="100"/>
      <w:jc w:val="center"/>
    </w:pPr>
    <w:rPr>
      <w:rFonts w:eastAsia="Arial Unicode MS" w:cs="Arial"/>
      <w:b/>
      <w:bCs/>
      <w:i/>
      <w:iCs/>
      <w:szCs w:val="24"/>
    </w:rPr>
  </w:style>
  <w:style w:type="paragraph" w:styleId="xl97">
    <w:name w:val="xl97"/>
    <w:basedOn w:val="Normal"/>
    <w:qFormat/>
    <w:pPr>
      <w:pBdr>
        <w:top w:val="single" w:sz="8" w:space="0" w:color="000000"/>
        <w:right w:val="single" w:sz="4" w:space="0" w:color="000000"/>
      </w:pBdr>
      <w:spacing w:before="100" w:after="100"/>
      <w:jc w:val="center"/>
    </w:pPr>
    <w:rPr>
      <w:rFonts w:eastAsia="Arial Unicode MS" w:cs="Arial"/>
      <w:szCs w:val="24"/>
    </w:rPr>
  </w:style>
  <w:style w:type="paragraph" w:styleId="xl98">
    <w:name w:val="xl98"/>
    <w:basedOn w:val="Normal"/>
    <w:qFormat/>
    <w:pPr>
      <w:pBdr>
        <w:top w:val="single" w:sz="8" w:space="0" w:color="000000"/>
        <w:left w:val="single" w:sz="4" w:space="0" w:color="000000"/>
      </w:pBdr>
      <w:spacing w:before="100" w:after="100"/>
      <w:jc w:val="center"/>
    </w:pPr>
    <w:rPr>
      <w:rFonts w:eastAsia="Arial Unicode MS" w:cs="Arial"/>
      <w:szCs w:val="24"/>
    </w:rPr>
  </w:style>
  <w:style w:type="paragraph" w:styleId="xl99">
    <w:name w:val="xl99"/>
    <w:basedOn w:val="Normal"/>
    <w:qFormat/>
    <w:pPr>
      <w:pBdr>
        <w:right w:val="single" w:sz="4" w:space="0" w:color="000000"/>
      </w:pBdr>
      <w:spacing w:before="100" w:after="100"/>
      <w:jc w:val="center"/>
    </w:pPr>
    <w:rPr>
      <w:rFonts w:eastAsia="Arial Unicode MS" w:cs="Arial"/>
      <w:szCs w:val="24"/>
    </w:rPr>
  </w:style>
  <w:style w:type="paragraph" w:styleId="xl100">
    <w:name w:val="xl100"/>
    <w:basedOn w:val="Normal"/>
    <w:qFormat/>
    <w:pPr>
      <w:pBdr>
        <w:left w:val="single" w:sz="4" w:space="0" w:color="000000"/>
      </w:pBdr>
      <w:spacing w:before="100" w:after="100"/>
      <w:jc w:val="center"/>
    </w:pPr>
    <w:rPr>
      <w:rFonts w:eastAsia="Arial Unicode MS" w:cs="Arial"/>
      <w:szCs w:val="24"/>
    </w:rPr>
  </w:style>
  <w:style w:type="paragraph" w:styleId="xl101">
    <w:name w:val="xl101"/>
    <w:basedOn w:val="Normal"/>
    <w:qFormat/>
    <w:pPr>
      <w:pBdr>
        <w:bottom w:val="single" w:sz="4" w:space="0" w:color="000000"/>
        <w:right w:val="single" w:sz="4" w:space="0" w:color="000000"/>
      </w:pBdr>
      <w:spacing w:before="100" w:after="100"/>
      <w:jc w:val="center"/>
    </w:pPr>
    <w:rPr>
      <w:rFonts w:eastAsia="Arial Unicode MS" w:cs="Arial"/>
      <w:szCs w:val="24"/>
    </w:rPr>
  </w:style>
  <w:style w:type="paragraph" w:styleId="xl102">
    <w:name w:val="xl102"/>
    <w:basedOn w:val="Normal"/>
    <w:qFormat/>
    <w:pPr>
      <w:pBdr>
        <w:left w:val="single" w:sz="4" w:space="0" w:color="000000"/>
        <w:bottom w:val="single" w:sz="4" w:space="0" w:color="000000"/>
      </w:pBdr>
      <w:spacing w:before="100" w:after="100"/>
      <w:jc w:val="center"/>
    </w:pPr>
    <w:rPr>
      <w:rFonts w:eastAsia="Arial Unicode MS" w:cs="Arial"/>
      <w:szCs w:val="24"/>
    </w:rPr>
  </w:style>
  <w:style w:type="paragraph" w:styleId="xl103">
    <w:name w:val="xl103"/>
    <w:basedOn w:val="Normal"/>
    <w:qFormat/>
    <w:pPr>
      <w:pBdr>
        <w:top w:val="single" w:sz="4" w:space="0" w:color="000000"/>
        <w:bottom w:val="double" w:sz="6" w:space="0" w:color="000000"/>
        <w:right w:val="single" w:sz="4" w:space="0" w:color="000000"/>
      </w:pBdr>
      <w:spacing w:before="100" w:after="100"/>
      <w:jc w:val="center"/>
    </w:pPr>
    <w:rPr>
      <w:rFonts w:eastAsia="Arial Unicode MS" w:cs="Arial"/>
      <w:szCs w:val="24"/>
    </w:rPr>
  </w:style>
  <w:style w:type="paragraph" w:styleId="xl104">
    <w:name w:val="xl104"/>
    <w:basedOn w:val="Normal"/>
    <w:qFormat/>
    <w:pPr>
      <w:pBdr>
        <w:top w:val="single" w:sz="4" w:space="0" w:color="000000"/>
        <w:left w:val="single" w:sz="4" w:space="0" w:color="000000"/>
        <w:bottom w:val="double" w:sz="6" w:space="0" w:color="000000"/>
      </w:pBdr>
      <w:spacing w:before="100" w:after="100"/>
      <w:jc w:val="center"/>
    </w:pPr>
    <w:rPr>
      <w:rFonts w:eastAsia="Arial Unicode MS" w:cs="Arial"/>
      <w:szCs w:val="24"/>
    </w:rPr>
  </w:style>
  <w:style w:type="paragraph" w:styleId="xl105">
    <w:name w:val="xl105"/>
    <w:basedOn w:val="Normal"/>
    <w:qFormat/>
    <w:pPr>
      <w:pBdr>
        <w:top w:val="single" w:sz="8" w:space="0" w:color="000000"/>
        <w:left w:val="single" w:sz="4" w:space="0" w:color="000000"/>
        <w:bottom w:val="single" w:sz="4" w:space="0" w:color="000000"/>
      </w:pBdr>
      <w:spacing w:before="100" w:after="100"/>
    </w:pPr>
    <w:rPr>
      <w:rFonts w:eastAsia="Arial Unicode MS" w:cs="Arial"/>
      <w:b/>
      <w:bCs/>
      <w:i/>
      <w:iCs/>
      <w:sz w:val="16"/>
      <w:szCs w:val="16"/>
    </w:rPr>
  </w:style>
  <w:style w:type="paragraph" w:styleId="xl106">
    <w:name w:val="xl106"/>
    <w:basedOn w:val="Normal"/>
    <w:qFormat/>
    <w:pPr>
      <w:pBdr>
        <w:top w:val="single" w:sz="8" w:space="0" w:color="000000"/>
        <w:bottom w:val="single" w:sz="4" w:space="0" w:color="000000"/>
      </w:pBdr>
      <w:spacing w:before="100" w:after="100"/>
    </w:pPr>
    <w:rPr>
      <w:rFonts w:eastAsia="Arial Unicode MS" w:cs="Arial"/>
      <w:b/>
      <w:bCs/>
      <w:i/>
      <w:iCs/>
      <w:sz w:val="16"/>
      <w:szCs w:val="16"/>
    </w:rPr>
  </w:style>
  <w:style w:type="paragraph" w:styleId="xl107">
    <w:name w:val="xl107"/>
    <w:basedOn w:val="Normal"/>
    <w:qFormat/>
    <w:pPr>
      <w:pBdr>
        <w:top w:val="single" w:sz="8" w:space="0" w:color="000000"/>
        <w:bottom w:val="single" w:sz="4" w:space="0" w:color="000000"/>
        <w:right w:val="single" w:sz="4" w:space="0" w:color="000000"/>
      </w:pBdr>
      <w:spacing w:before="100" w:after="100"/>
    </w:pPr>
    <w:rPr>
      <w:rFonts w:eastAsia="Arial Unicode MS" w:cs="Arial"/>
      <w:b/>
      <w:bCs/>
      <w:i/>
      <w:iCs/>
      <w:sz w:val="16"/>
      <w:szCs w:val="16"/>
    </w:rPr>
  </w:style>
  <w:style w:type="paragraph" w:styleId="xl108">
    <w:name w:val="xl108"/>
    <w:basedOn w:val="Normal"/>
    <w:qFormat/>
    <w:pPr>
      <w:pBdr>
        <w:top w:val="single" w:sz="8" w:space="0" w:color="000000"/>
        <w:bottom w:val="single" w:sz="4" w:space="0" w:color="000000"/>
      </w:pBdr>
      <w:spacing w:before="100" w:after="100"/>
      <w:jc w:val="center"/>
    </w:pPr>
    <w:rPr>
      <w:rFonts w:eastAsia="Arial Unicode MS" w:cs="Arial"/>
      <w:b/>
      <w:bCs/>
      <w:color w:val="000080"/>
      <w:szCs w:val="24"/>
    </w:rPr>
  </w:style>
  <w:style w:type="paragraph" w:styleId="xl109">
    <w:name w:val="xl109"/>
    <w:basedOn w:val="Normal"/>
    <w:qFormat/>
    <w:pPr>
      <w:spacing w:before="100" w:after="100"/>
    </w:pPr>
    <w:rPr>
      <w:rFonts w:eastAsia="Arial Unicode MS" w:cs="Arial"/>
      <w:b/>
      <w:bCs/>
      <w:szCs w:val="24"/>
      <w:u w:val="single"/>
    </w:rPr>
  </w:style>
  <w:style w:type="paragraph" w:styleId="xl110">
    <w:name w:val="xl110"/>
    <w:basedOn w:val="Normal"/>
    <w:qFormat/>
    <w:pPr>
      <w:spacing w:before="100" w:after="100"/>
      <w:jc w:val="center"/>
    </w:pPr>
    <w:rPr>
      <w:rFonts w:eastAsia="Arial Unicode MS" w:cs="Arial"/>
      <w:b/>
      <w:bCs/>
      <w:szCs w:val="24"/>
    </w:rPr>
  </w:style>
  <w:style w:type="paragraph" w:styleId="xl111">
    <w:name w:val="xl111"/>
    <w:basedOn w:val="Normal"/>
    <w:qFormat/>
    <w:pPr>
      <w:spacing w:before="100" w:after="100"/>
      <w:jc w:val="center"/>
    </w:pPr>
    <w:rPr>
      <w:rFonts w:ascii="Arial Unicode MS" w:hAnsi="Arial Unicode MS" w:eastAsia="Arial Unicode MS" w:cs="Arial Unicode MS"/>
      <w:szCs w:val="24"/>
    </w:rPr>
  </w:style>
  <w:style w:type="paragraph" w:styleId="xl112">
    <w:name w:val="xl112"/>
    <w:basedOn w:val="Normal"/>
    <w:qFormat/>
    <w:pPr>
      <w:spacing w:before="100" w:after="100"/>
    </w:pPr>
    <w:rPr>
      <w:rFonts w:eastAsia="Arial Unicode MS" w:cs="Arial"/>
      <w:szCs w:val="24"/>
    </w:rPr>
  </w:style>
  <w:style w:type="paragraph" w:styleId="xl113">
    <w:name w:val="xl113"/>
    <w:basedOn w:val="Normal"/>
    <w:qFormat/>
    <w:pPr>
      <w:spacing w:before="100" w:after="100"/>
      <w:jc w:val="end"/>
    </w:pPr>
    <w:rPr>
      <w:rFonts w:ascii="Arial Unicode MS" w:hAnsi="Arial Unicode MS" w:eastAsia="Arial Unicode MS" w:cs="Arial Unicode MS"/>
      <w:szCs w:val="24"/>
    </w:rPr>
  </w:style>
  <w:style w:type="paragraph" w:styleId="xl114">
    <w:name w:val="xl114"/>
    <w:basedOn w:val="Normal"/>
    <w:qFormat/>
    <w:pPr>
      <w:spacing w:before="100" w:after="100"/>
    </w:pPr>
    <w:rPr>
      <w:rFonts w:eastAsia="Arial Unicode MS" w:cs="Arial"/>
      <w:szCs w:val="24"/>
    </w:rPr>
  </w:style>
  <w:style w:type="paragraph" w:styleId="xl115">
    <w:name w:val="xl115"/>
    <w:basedOn w:val="Normal"/>
    <w:qFormat/>
    <w:pPr>
      <w:spacing w:before="100" w:after="100"/>
      <w:jc w:val="end"/>
    </w:pPr>
    <w:rPr>
      <w:rFonts w:eastAsia="Arial Unicode MS" w:cs="Arial"/>
      <w:b/>
      <w:bCs/>
      <w:szCs w:val="24"/>
    </w:rPr>
  </w:style>
  <w:style w:type="paragraph" w:styleId="xl116">
    <w:name w:val="xl116"/>
    <w:basedOn w:val="Normal"/>
    <w:qFormat/>
    <w:pPr>
      <w:spacing w:before="100" w:after="100"/>
    </w:pPr>
    <w:rPr>
      <w:rFonts w:eastAsia="Arial Unicode MS" w:cs="Arial"/>
      <w:b/>
      <w:bCs/>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2002-01-17T11:58:00Z</dcterms:created>
  <dc:creator>eecc</dc:creator>
  <dc:description/>
  <dc:language>en-CA</dc:language>
  <cp:lastModifiedBy>aeisens</cp:lastModifiedBy>
  <cp:lastPrinted>2002-01-17T08:28:00Z</cp:lastPrinted>
  <dcterms:modified xsi:type="dcterms:W3CDTF">2002-01-18T11:33:00Z</dcterms:modified>
  <cp:revision>7</cp:revision>
  <dc:subject/>
  <dc:title>To: Jerry D Martin/ENRON@enronXgate</dc:title>
</cp:coreProperties>
</file>