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ab/>
        <w:tab/>
        <w:tab/>
        <w:t>December 20, 1999</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Service Agreements No.  26661</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Duke Energy Trading &amp; Marketing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                  The discounted rate for the FTS-1 agreement is as follows:</w:t>
      </w:r>
    </w:p>
    <w:p>
      <w:pPr>
        <w:pStyle w:val="Normal"/>
        <w:widowControl w:val="false"/>
        <w:rPr>
          <w:lang w:eastAsia="en-US"/>
        </w:rPr>
      </w:pPr>
      <w:r>
        <w:rPr>
          <w:lang w:eastAsia="en-US"/>
        </w:rPr>
        <w:tab/>
      </w:r>
    </w:p>
    <w:p>
      <w:pPr>
        <w:pStyle w:val="BodyTextIndent"/>
        <w:rPr/>
      </w:pPr>
      <w:r>
        <w:rPr/>
        <w:t xml:space="preserve">$  .0200/MMBtu/day  (Total Charge*)  for the months of January, February, March, November and December, and $.0300/MMBtu/day (Total Charge*) for the months of April, May, June, July, August September and October.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the applicable Total Charge as provided above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Shipper may utilize alternate receipt and delivery points on Transwestern’s Ignacio to Blanco section of pipeline as well as alternate delivery points at the Blanco Hub at the discounted rate set forth in Paragraph 2.  Shipper may transport in a northward flow direction at an additional $.0100/MMBtu/day rate to the applicable Total Charge based upon actual utilization.  If any alternate receipt or delivery points are utilized  the discounted rates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affected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1440" w:end="0"/>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1999-07-28T13:01:00Z</dcterms:created>
  <dc:creator>Christine A Stokes</dc:creator>
  <dc:description/>
  <dc:language>en-CA</dc:language>
  <cp:lastModifiedBy>Christine A Stokes</cp:lastModifiedBy>
  <cp:lastPrinted>1999-12-20T08:42:00Z</cp:lastPrinted>
  <dcterms:modified xsi:type="dcterms:W3CDTF">1999-12-20T12:16:00Z</dcterms:modified>
  <cp:revision>12</cp:revision>
  <dc:subject/>
  <dc:title>Enron Capital &amp; Trade Resources</dc:title>
</cp:coreProperties>
</file>