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PRIVILEGED AND CONFIDENTIAL, ATTORNEY WORK PRODUCT  ATTORNEY NOTES</w:t>
      </w:r>
    </w:p>
    <w:p>
      <w:pPr>
        <w:pStyle w:val="Normal"/>
        <w:rPr/>
      </w:pPr>
      <w:r>
        <w:rPr/>
      </w:r>
    </w:p>
    <w:p>
      <w:pPr>
        <w:pStyle w:val="Normal"/>
        <w:rPr/>
      </w:pPr>
      <w:r>
        <w:rPr/>
        <w:t>Transwestern Feb. Negotiated Rate Transactions</w:t>
      </w:r>
    </w:p>
    <w:p>
      <w:pPr>
        <w:pStyle w:val="Normal"/>
        <w:rPr/>
      </w:pPr>
      <w:r>
        <w:rPr/>
        <w:t>March 8, 2001</w:t>
      </w:r>
    </w:p>
    <w:p>
      <w:pPr>
        <w:pStyle w:val="Normal"/>
        <w:rPr/>
      </w:pPr>
      <w:r>
        <w:rPr/>
      </w:r>
    </w:p>
    <w:p>
      <w:pPr>
        <w:pStyle w:val="Normal"/>
        <w:rPr/>
      </w:pPr>
      <w:r>
        <w:rPr/>
        <w:tab/>
        <w:t>GOOD FACTS</w:t>
      </w:r>
    </w:p>
    <w:p>
      <w:pPr>
        <w:pStyle w:val="Normal"/>
        <w:rPr/>
      </w:pPr>
      <w:r>
        <w:rPr/>
      </w:r>
    </w:p>
    <w:p>
      <w:pPr>
        <w:pStyle w:val="Normal"/>
        <w:numPr>
          <w:ilvl w:val="0"/>
          <w:numId w:val="1"/>
        </w:numPr>
        <w:rPr/>
      </w:pPr>
      <w:r>
        <w:rPr/>
        <w:t>FERC has accepted for filing numerous index-index negotiated rate filings by other pipelines [i.e., Kern deal, Northern deals]</w:t>
      </w:r>
    </w:p>
    <w:p>
      <w:pPr>
        <w:pStyle w:val="Normal"/>
        <w:numPr>
          <w:ilvl w:val="0"/>
          <w:numId w:val="1"/>
        </w:numPr>
        <w:rPr/>
      </w:pPr>
      <w:r>
        <w:rPr/>
        <w:t>All capacity was posted on the TW EBB for one day before being sold.</w:t>
      </w:r>
    </w:p>
    <w:p>
      <w:pPr>
        <w:pStyle w:val="Normal"/>
        <w:numPr>
          <w:ilvl w:val="0"/>
          <w:numId w:val="1"/>
        </w:numPr>
        <w:rPr/>
      </w:pPr>
      <w:r>
        <w:rPr/>
        <w:t>The customer proposed the rate to us—TK only said “what do you think it’s worth” or something like that.  We thus had no opportunity to exhert market power.</w:t>
      </w:r>
    </w:p>
    <w:p>
      <w:pPr>
        <w:pStyle w:val="Normal"/>
        <w:numPr>
          <w:ilvl w:val="0"/>
          <w:numId w:val="1"/>
        </w:numPr>
        <w:rPr/>
      </w:pPr>
      <w:r>
        <w:rPr/>
        <w:t xml:space="preserve">Under the index mechanism, there was a balancing of risks and opportunities between TW and the customer because the basis theoretically could have dropped below max. rates during the term of the contracts. </w:t>
      </w:r>
    </w:p>
    <w:p>
      <w:pPr>
        <w:pStyle w:val="Normal"/>
        <w:numPr>
          <w:ilvl w:val="0"/>
          <w:numId w:val="1"/>
        </w:numPr>
        <w:rPr/>
      </w:pPr>
      <w:r>
        <w:rPr/>
        <w:t xml:space="preserve">Customers’ data responses told FERC that they entered the deals willingly, voluntarily, and with full knowledge of availability of the recourse rate.  They also explained why index deals work best for their specific business needs.  </w:t>
      </w:r>
    </w:p>
    <w:p>
      <w:pPr>
        <w:pStyle w:val="Normal"/>
        <w:numPr>
          <w:ilvl w:val="0"/>
          <w:numId w:val="1"/>
        </w:numPr>
        <w:rPr/>
      </w:pPr>
      <w:r>
        <w:rPr/>
        <w:t xml:space="preserve">Customers have agreed to new deals for March, on similar terms as the Feb. deals [same for Sid, better split for Sempra].  This indicates no abuse of market power by TW.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BAD FACTS</w:t>
      </w:r>
    </w:p>
    <w:p>
      <w:pPr>
        <w:pStyle w:val="Normal"/>
        <w:rPr/>
      </w:pPr>
      <w:r>
        <w:rPr/>
      </w:r>
    </w:p>
    <w:p>
      <w:pPr>
        <w:pStyle w:val="Normal"/>
        <w:numPr>
          <w:ilvl w:val="0"/>
          <w:numId w:val="2"/>
        </w:numPr>
        <w:rPr/>
      </w:pPr>
      <w:r>
        <w:rPr/>
        <w:t>Our February index deals, as amended, have a subjective component [the marketing fee in the Sid deal and the “gross margin” concept int the Sempra deal that are arguably not understandable or verifiable by FERC or interested parties in advance and thus inconsistent with FERC’s neg. rate policy.</w:t>
      </w:r>
    </w:p>
    <w:p>
      <w:pPr>
        <w:pStyle w:val="Normal"/>
        <w:numPr>
          <w:ilvl w:val="0"/>
          <w:numId w:val="2"/>
        </w:numPr>
        <w:rPr/>
      </w:pPr>
      <w:r>
        <w:rPr/>
        <w:t>TW’s the posting was for about 8 hours, and the TW tariff says a day is 24 hours.</w:t>
      </w:r>
    </w:p>
    <w:p>
      <w:pPr>
        <w:pStyle w:val="Normal"/>
        <w:numPr>
          <w:ilvl w:val="0"/>
          <w:numId w:val="2"/>
        </w:numPr>
        <w:rPr/>
      </w:pPr>
      <w:r>
        <w:rPr/>
        <w:t>TK is in frequent contact with a number of shippers, including Sid and Sempra, and may have tipped them off that capacity was going to become available before the posting went up.</w:t>
      </w:r>
    </w:p>
    <w:p>
      <w:pPr>
        <w:pStyle w:val="Normal"/>
        <w:numPr>
          <w:ilvl w:val="0"/>
          <w:numId w:val="2"/>
        </w:numPr>
        <w:rPr/>
      </w:pPr>
      <w:r>
        <w:rPr/>
        <w:t>We don’t archive historical postings so it will be difficult to prove what we posted [is this true for operational capacity?]</w:t>
      </w:r>
    </w:p>
    <w:p>
      <w:pPr>
        <w:pStyle w:val="Normal"/>
        <w:numPr>
          <w:ilvl w:val="0"/>
          <w:numId w:val="2"/>
        </w:numPr>
        <w:rPr/>
      </w:pPr>
      <w:r>
        <w:rPr/>
        <w:t>The rate was so high and the contract term so short that there really wasn’t any sort of fair balancing of risks and rewards.  The rate is so high it looks like we exherted market power even if we in fact didn’t.</w:t>
      </w:r>
    </w:p>
    <w:p>
      <w:pPr>
        <w:pStyle w:val="Normal"/>
        <w:numPr>
          <w:ilvl w:val="0"/>
          <w:numId w:val="2"/>
        </w:numPr>
        <w:rPr/>
      </w:pPr>
      <w:r>
        <w:rPr/>
        <w:t>On the data responses, the answers simply don’t make practical sense.  Sid and Sempra’s objectives for the deals [i.e., make money and manage risk] could have been better met with  a recourse rate deal or at minimum a more favorable split of the index [i.e., 90-10 in the customer’s favor].</w:t>
      </w:r>
    </w:p>
    <w:p>
      <w:pPr>
        <w:pStyle w:val="Normal"/>
        <w:numPr>
          <w:ilvl w:val="0"/>
          <w:numId w:val="2"/>
        </w:numPr>
        <w:rPr/>
      </w:pPr>
      <w:r>
        <w:rPr/>
        <w:t xml:space="preserve">Real reason for the customer’s proposal of a rate that is so favorable to TW appears to be an attempt to curry favor with TW (i.e., TK) so she will call them as soon as new capacity becomes available.  Customers seem to either not understand how to use EBB to find these packages of capacity or are too understaffed or busy or lazy to look on their own.  They clearly value having TK serve as their early warning if capacity becomes available.  Their eagerness to offer a rate that is very fair to TW is designed to assure that TK continues to keep them (Sempra/Sid) on her list of people to call and preferably at the very top of that list. </w:t>
      </w:r>
    </w:p>
    <w:p>
      <w:pPr>
        <w:pStyle w:val="Normal"/>
        <w:rPr/>
      </w:pPr>
      <w:r>
        <w:rPr/>
      </w:r>
    </w:p>
    <w:p>
      <w:pPr>
        <w:pStyle w:val="Normal"/>
        <w:rPr/>
      </w:pPr>
      <w:r>
        <w:rPr/>
        <w:t xml:space="preserve">     </w:t>
      </w:r>
    </w:p>
    <w:sectPr>
      <w:type w:val="nextPage"/>
      <w:pgSz w:w="12240" w:h="15840"/>
      <w:pgMar w:left="1800" w:right="1800" w:gutter="0" w:header="0" w:top="1440" w:footer="0" w:bottom="1440"/>
      <w:pgNumType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2001-03-09T13:16:00Z</dcterms:created>
  <dc:creator>dfossum</dc:creator>
  <dc:description/>
  <dc:language>en-CA</dc:language>
  <cp:lastModifiedBy>dfossum</cp:lastModifiedBy>
  <dcterms:modified xsi:type="dcterms:W3CDTF">2001-03-09T13:16:00Z</dcterms:modified>
  <cp:revision>2</cp:revision>
  <dc:subject/>
  <dc:title>PRIVILEGED AND CONFIDENTIAL, ATTORNEY WORK PRODUCT  ATTORNEY NOTES</dc:title>
</cp:coreProperties>
</file>