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Ramona Betancourt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Ramona Betancourt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IT TECH. Staff Contact:</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TW Inside/Outside the Path Process</w:t>
      </w:r>
    </w:p>
    <w:p>
      <w:pPr>
        <w:pStyle w:val="Normal"/>
        <w:numPr>
          <w:ilvl w:val="0"/>
          <w:numId w:val="0"/>
        </w:numPr>
        <w:jc w:val="center"/>
        <w:outlineLvl w:val="0"/>
        <w:rPr>
          <w:rFonts w:ascii="Arial" w:hAnsi="Arial" w:cs="Arial"/>
          <w:b/>
          <w:sz w:val="26"/>
        </w:rPr>
      </w:pPr>
      <w:r>
        <w:rPr>
          <w:rFonts w:cs="Arial" w:ascii="Arial" w:hAnsi="Arial"/>
          <w:b/>
          <w:sz w:val="26"/>
        </w:rPr>
        <w:t>PLE/CMS/TMS</w:t>
      </w:r>
    </w:p>
    <w:p>
      <w:pPr>
        <w:pStyle w:val="Normal"/>
        <w:numPr>
          <w:ilvl w:val="0"/>
          <w:numId w:val="0"/>
        </w:numPr>
        <w:jc w:val="center"/>
        <w:outlineLvl w:val="0"/>
        <w:rPr>
          <w:rFonts w:ascii="Arial" w:hAnsi="Arial" w:cs="Arial"/>
          <w:b/>
          <w:sz w:val="26"/>
        </w:rPr>
      </w:pPr>
      <w:r>
        <w:rPr>
          <w:rFonts w:cs="Arial" w:ascii="Arial" w:hAnsi="Arial"/>
          <w:b/>
          <w:sz w:val="26"/>
        </w:rPr>
        <w:t>08/17/2001</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numPr>
          <w:ilvl w:val="0"/>
          <w:numId w:val="2"/>
        </w:numPr>
        <w:rPr>
          <w:rFonts w:ascii="Arial" w:hAnsi="Arial" w:cs="Arial"/>
        </w:rPr>
      </w:pPr>
      <w:r>
        <w:rPr>
          <w:rFonts w:cs="Arial" w:ascii="Arial" w:hAnsi="Arial"/>
        </w:rPr>
        <w:t>Currently Transwestern Pipeline allocates our contracts at a path level rather than at a point level. This is a different process than what NNG and FGT has in their tariff rules for allocations. Transwestern also identifies the firm contracts alternate paths into two levels of alternate service for allocation purpose.  In order to correctly identify these inside and outside the path levels for allocation purpose, TW must determine what alternate points are nominated on a firm contract and if they are alternate points within their primary path on the contract or alternate points outside the primary path on their contract. This process is handled utilizing the following processes and requirements below:</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rPr>
          <w:rFonts w:ascii="Arial" w:hAnsi="Arial" w:cs="Arial"/>
          <w:b/>
          <w:sz w:val="24"/>
          <w:u w:val="single"/>
        </w:rPr>
      </w:pPr>
      <w:r>
        <w:rPr>
          <w:rFonts w:cs="Arial" w:ascii="Arial" w:hAnsi="Arial"/>
          <w:b/>
          <w:sz w:val="24"/>
          <w:u w:val="single"/>
        </w:rPr>
      </w:r>
    </w:p>
    <w:p>
      <w:pPr>
        <w:pStyle w:val="Normal"/>
        <w:numPr>
          <w:ilvl w:val="0"/>
          <w:numId w:val="2"/>
        </w:numPr>
        <w:rPr>
          <w:rFonts w:ascii="Arial" w:hAnsi="Arial" w:cs="Arial"/>
        </w:rPr>
      </w:pPr>
      <w:r>
        <w:rPr>
          <w:rFonts w:cs="Arial" w:ascii="Arial" w:hAnsi="Arial"/>
        </w:rPr>
        <w:t xml:space="preserve">TW must have all points that are valid for transport tied to our Marketing Laterals. This process is already complete for TW and the Marketing Lateral code for each point that is valid for transport is kept in the Marketing Lateral Data Field in PLE. Any new point that is added to TW should also be defined in the PLE system with a correct marketing lateral. If we do not have a validation in PLE, we should add one that will not allow the user to update, add or save any change to a point in PLE without the Marketing Lateral code being entered. This should apply to all TW points that are valid for Transport. (The groups that should decide on the correct Marketing Lateral for a point on TW should be Facility Planning and Marketing) </w:t>
      </w:r>
    </w:p>
    <w:p>
      <w:pPr>
        <w:pStyle w:val="Normal"/>
        <w:numPr>
          <w:ilvl w:val="0"/>
          <w:numId w:val="2"/>
        </w:numPr>
        <w:rPr>
          <w:rFonts w:ascii="Arial" w:hAnsi="Arial" w:cs="Arial"/>
        </w:rPr>
      </w:pPr>
      <w:r>
        <w:rPr>
          <w:rFonts w:cs="Arial" w:ascii="Arial" w:hAnsi="Arial"/>
        </w:rPr>
        <w:t xml:space="preserve">A call to a table in the contract system and the PLE system is used today &amp; will be modified  to be used with the new CMS system using the new process. The call to CMS will extract firm contract point information </w:t>
      </w:r>
      <w:r>
        <w:rPr>
          <w:rFonts w:cs="Arial" w:ascii="Arial" w:hAnsi="Arial"/>
          <w:color w:val="FF0000"/>
        </w:rPr>
        <w:t xml:space="preserve">prior to each cycle’s allocation process. The times should be: 12:30 PM for timely cycle, 7:30 PM for evening cycle, 8:00 AM for non-Grid cycle, 12:00 noon for I/D1 cycle, and 7:00 PM for I/D 2 cycle </w:t>
      </w:r>
      <w:r>
        <w:rPr>
          <w:rFonts w:cs="Arial" w:ascii="Arial" w:hAnsi="Arial"/>
        </w:rPr>
        <w:t>This call to the table in the contract system must pull all effective and active firm contracts (Firm Release, FTS2, FTS1, FTS3, EFBH. &amp; LFT); the primary point information and the point role from CMS must extract and pull is all the effective primary receipt points and all the effective primary delivery points for the upcoming gas day and current gas day. This call or process extract should also be made available on demand by a user. (Contract Administration rep or market service rep)</w:t>
      </w:r>
    </w:p>
    <w:p>
      <w:pPr>
        <w:pStyle w:val="Normal"/>
        <w:numPr>
          <w:ilvl w:val="0"/>
          <w:numId w:val="2"/>
        </w:numPr>
        <w:rPr>
          <w:rFonts w:ascii="Arial" w:hAnsi="Arial" w:cs="Arial"/>
        </w:rPr>
      </w:pPr>
      <w:r>
        <w:rPr>
          <w:rFonts w:cs="Arial" w:ascii="Arial" w:hAnsi="Arial"/>
        </w:rPr>
        <w:t xml:space="preserve">Once this call to the table is made to CMS and the contract point data information is pulled, a call to PLE system will be made to find the valid Marketing lateral codes that are assigned to each firm primary points on the contracts based on the point and the point role. This </w:t>
      </w:r>
      <w:r>
        <w:rPr>
          <w:rFonts w:cs="Arial" w:ascii="Arial" w:hAnsi="Arial"/>
          <w:color w:val="FF0000"/>
        </w:rPr>
        <w:t>table is called : nsa_pipe_flow table. This table links the lateral groups one by one by walking a chain of connected  marketing laterals in order across the pipeline</w:t>
      </w:r>
      <w:r>
        <w:rPr>
          <w:rFonts w:cs="Arial" w:ascii="Arial" w:hAnsi="Arial"/>
        </w:rPr>
        <w:t>. This process builds a list of valid marketing laterals for each firm contract based on the primary receipts and delivery points and a table stores which laterals touch other laterals and what direction (N, E, W, or S) they tie to each other. (Example: lateral 900 is east of lateral 800, lateral 100 is west of lateral 140)</w:t>
      </w:r>
    </w:p>
    <w:p>
      <w:pPr>
        <w:pStyle w:val="Normal"/>
        <w:numPr>
          <w:ilvl w:val="0"/>
          <w:numId w:val="2"/>
        </w:numPr>
        <w:rPr>
          <w:rFonts w:ascii="Arial" w:hAnsi="Arial" w:cs="Arial"/>
        </w:rPr>
      </w:pPr>
      <w:r>
        <w:rPr>
          <w:rFonts w:cs="Arial" w:ascii="Arial" w:hAnsi="Arial"/>
        </w:rPr>
        <w:t>The next process that will need to occur involves the loading of all other valid alternate points inside the path on the contract via individual points &amp; point role that are tied directly to the contract as alternate points and any templates tied to the contract and the template role or (R/D) The role of (R/D) is determined from the point role, contract point role, or template role. The point can be Receipt if any of the roles say R or (B)oth. The point can be Delivery if any of the roles say D or (B)oth. Add the valid alternate points to the list to store in the table for the contract that are equal to the same laterals and same point role from the valid inside the path laterals for that contract. (There are some other special checks that the store procedure does in the process using PLE/(CBS)/CMS systems to verify both receipt and delivery points within the pools and the pool point checks themselves) I have not identified all these rules yet.</w:t>
      </w:r>
    </w:p>
    <w:p>
      <w:pPr>
        <w:pStyle w:val="Normal"/>
        <w:numPr>
          <w:ilvl w:val="0"/>
          <w:numId w:val="2"/>
        </w:numPr>
        <w:rPr>
          <w:rFonts w:ascii="Arial" w:hAnsi="Arial" w:cs="Arial"/>
        </w:rPr>
      </w:pPr>
      <w:r>
        <w:rPr>
          <w:rFonts w:cs="Arial" w:ascii="Arial" w:hAnsi="Arial"/>
        </w:rPr>
        <w:t>This list of all possible valid laterals at a contract level is pulled into the TMS allocation process noted in the next step.</w:t>
      </w:r>
    </w:p>
    <w:p>
      <w:pPr>
        <w:pStyle w:val="Normal"/>
        <w:numPr>
          <w:ilvl w:val="0"/>
          <w:numId w:val="2"/>
        </w:numPr>
        <w:rPr>
          <w:rFonts w:ascii="Arial" w:hAnsi="Arial" w:cs="Arial"/>
        </w:rPr>
      </w:pPr>
      <w:r>
        <w:rPr>
          <w:rFonts w:cs="Arial" w:ascii="Arial" w:hAnsi="Arial"/>
        </w:rPr>
        <w:t>The TMS system uses this call to the table to determine what alternate points are valid inside the path points for the correct gas day. TMS assumes that if any alternate point marketing lateral code is not one of the valid marketing lateral codes from the list or table for that contract and that gas day, then it is considered to be an alternate point outside the path. These outside the path firm contracts are allocated before the inside the path alternate contracts are cut. This process is only found in TW TMS allocation process. FGT and NNG do not allocate using inside and outside the path concept.</w:t>
      </w:r>
    </w:p>
    <w:p>
      <w:pPr>
        <w:pStyle w:val="Normal"/>
        <w:rPr>
          <w:rFonts w:ascii="Arial" w:hAnsi="Arial" w:cs="Arial"/>
        </w:rPr>
      </w:pPr>
      <w:r>
        <w:rPr>
          <w:rFonts w:cs="Arial" w:ascii="Arial" w:hAnsi="Arial"/>
        </w:rPr>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Template>
  <TotalTime>470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2001-08-14T16:05:00Z</dcterms:created>
  <dc:creator>Marysusan Banavali</dc:creator>
  <dc:description/>
  <dc:language>en-CA</dc:language>
  <cp:lastModifiedBy>rbetanc</cp:lastModifiedBy>
  <cp:lastPrinted>2001-08-23T13:42:00Z</cp:lastPrinted>
  <dcterms:modified xsi:type="dcterms:W3CDTF">2001-08-23T16:12:00Z</dcterms:modified>
  <cp:revision>9</cp:revision>
  <dc:subject/>
  <dc:title>NAME</dc:title>
</cp:coreProperties>
</file>