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720" w:end="0"/>
        <w:rPr/>
      </w:pPr>
      <w:r>
        <w:rPr/>
        <w:t>TRANSWESTERN PIPELINE COMPANY</w:t>
      </w:r>
    </w:p>
    <w:p>
      <w:pPr>
        <w:pStyle w:val="Heading"/>
        <w:ind w:start="-720" w:end="0"/>
        <w:rPr/>
      </w:pPr>
      <w:r>
        <w:rPr/>
      </w:r>
    </w:p>
    <w:p>
      <w:pPr>
        <w:pStyle w:val="Heading"/>
        <w:ind w:start="-720" w:end="0"/>
        <w:rPr/>
      </w:pPr>
      <w:r>
        <w:rPr/>
        <w:t>Hedging Documentation</w:t>
      </w:r>
    </w:p>
    <w:p>
      <w:pPr>
        <w:pStyle w:val="Normal"/>
        <w:ind w:start="-720" w:end="0"/>
        <w:rPr/>
      </w:pPr>
      <w:r>
        <w:rPr/>
      </w:r>
    </w:p>
    <w:p>
      <w:pPr>
        <w:pStyle w:val="Normal"/>
        <w:ind w:start="-720" w:end="0"/>
        <w:rPr>
          <w:b/>
          <w:u w:val="single"/>
        </w:rPr>
      </w:pPr>
      <w:r>
        <w:rPr>
          <w:b/>
          <w:u w:val="single"/>
        </w:rPr>
        <w:t>Description of Derivative Hedging Instrument:</w:t>
      </w:r>
    </w:p>
    <w:p>
      <w:pPr>
        <w:pStyle w:val="Normal"/>
        <w:ind w:hanging="2160" w:start="1440" w:end="0"/>
        <w:rPr/>
      </w:pPr>
      <w:r>
        <w:rPr/>
        <w:t>Transaction:</w:t>
        <w:tab/>
        <w:t>U. S. Natural Gas (Swap)</w:t>
      </w:r>
    </w:p>
    <w:p>
      <w:pPr>
        <w:pStyle w:val="Normal"/>
        <w:ind w:hanging="2160" w:start="1440" w:end="0"/>
        <w:rPr/>
      </w:pPr>
      <w:r>
        <w:rPr/>
        <w:t>Date:</w:t>
        <w:tab/>
        <w:tab/>
      </w:r>
    </w:p>
    <w:p>
      <w:pPr>
        <w:pStyle w:val="Normal"/>
        <w:ind w:hanging="2160" w:start="1440" w:end="0"/>
        <w:rPr/>
      </w:pPr>
      <w:r>
        <w:rPr/>
        <w:t>Trader:</w:t>
        <w:tab/>
      </w:r>
    </w:p>
    <w:p>
      <w:pPr>
        <w:pStyle w:val="Normal"/>
        <w:ind w:hanging="2160" w:start="1440" w:end="0"/>
        <w:rPr/>
      </w:pPr>
      <w:r>
        <w:rPr/>
        <w:t>Company:</w:t>
        <w:tab/>
        <w:t>Transwestern Pipeline Company ("TPC")</w:t>
      </w:r>
    </w:p>
    <w:p>
      <w:pPr>
        <w:pStyle w:val="Normal"/>
        <w:ind w:hanging="2160" w:start="1440" w:end="0"/>
        <w:rPr/>
      </w:pPr>
      <w:r>
        <w:rPr/>
        <w:t>Counter-party:</w:t>
        <w:tab/>
      </w:r>
    </w:p>
    <w:p>
      <w:pPr>
        <w:pStyle w:val="Normal"/>
        <w:ind w:hanging="2160" w:start="1440" w:end="0"/>
        <w:rPr/>
      </w:pPr>
      <w:r>
        <w:rPr/>
        <w:t>Counter-party deal no.:</w:t>
        <w:tab/>
      </w:r>
    </w:p>
    <w:p>
      <w:pPr>
        <w:pStyle w:val="Normal"/>
        <w:ind w:start="-720" w:end="0"/>
        <w:rPr/>
      </w:pPr>
      <w:r>
        <w:rPr/>
      </w:r>
    </w:p>
    <w:p>
      <w:pPr>
        <w:pStyle w:val="Normal"/>
        <w:ind w:start="-720" w:end="0"/>
        <w:rPr>
          <w:b/>
        </w:rPr>
      </w:pPr>
      <w:r>
        <w:rPr>
          <w:b/>
        </w:rPr>
        <w:t>General Terms:</w:t>
      </w:r>
    </w:p>
    <w:p>
      <w:pPr>
        <w:pStyle w:val="Normal"/>
        <w:ind w:hanging="2160" w:start="1440" w:end="0"/>
        <w:rPr/>
      </w:pPr>
      <w:r>
        <w:rPr/>
        <w:t>Notional Quantity:</w:t>
        <w:tab/>
        <w:t>_________ / MMBtu a day</w:t>
      </w:r>
    </w:p>
    <w:p>
      <w:pPr>
        <w:pStyle w:val="Normal"/>
        <w:ind w:hanging="2160" w:start="1440" w:end="0"/>
        <w:rPr/>
      </w:pPr>
      <w:r>
        <w:rPr/>
        <w:t>Commodity:</w:t>
        <w:tab/>
        <w:t>U. S. Natural Gas</w:t>
      </w:r>
    </w:p>
    <w:p>
      <w:pPr>
        <w:pStyle w:val="Normal"/>
        <w:ind w:hanging="2160" w:start="1440" w:end="0"/>
        <w:rPr/>
      </w:pPr>
      <w:r>
        <w:rPr/>
        <w:t>Trade Date:</w:t>
        <w:tab/>
      </w:r>
    </w:p>
    <w:p>
      <w:pPr>
        <w:pStyle w:val="Normal"/>
        <w:ind w:hanging="2160" w:start="1440" w:end="0"/>
        <w:rPr/>
      </w:pPr>
      <w:r>
        <w:rPr/>
        <w:t>Effective Date:</w:t>
        <w:tab/>
        <w:t>_______</w:t>
      </w:r>
    </w:p>
    <w:p>
      <w:pPr>
        <w:pStyle w:val="Normal"/>
        <w:ind w:hanging="2160" w:start="1440" w:end="0"/>
        <w:rPr/>
      </w:pPr>
      <w:r>
        <w:rPr/>
        <w:t>Termination Date:</w:t>
        <w:tab/>
        <w:t>_______</w:t>
      </w:r>
    </w:p>
    <w:p>
      <w:pPr>
        <w:pStyle w:val="Normal"/>
        <w:ind w:hanging="2160" w:start="1440" w:end="0"/>
        <w:rPr/>
      </w:pPr>
      <w:r>
        <w:rPr/>
        <w:t>Determination Period:</w:t>
        <w:tab/>
        <w:t>Each calendar month, beginning Jan. 1, _____ and ending Dec. 31, ______</w:t>
      </w:r>
    </w:p>
    <w:p>
      <w:pPr>
        <w:pStyle w:val="Normal"/>
        <w:ind w:hanging="2160" w:start="1440" w:end="-806"/>
        <w:rPr/>
      </w:pPr>
      <w:r>
        <w:rPr/>
        <w:t>Payment Date(s):</w:t>
        <w:tab/>
        <w:t>5</w:t>
      </w:r>
      <w:r>
        <w:rPr>
          <w:vertAlign w:val="superscript"/>
        </w:rPr>
        <w:t>th</w:t>
      </w:r>
      <w:r>
        <w:rPr/>
        <w:t xml:space="preserve"> business day following the date on which the Floating Price is determined</w:t>
      </w:r>
    </w:p>
    <w:p>
      <w:pPr>
        <w:pStyle w:val="Normal"/>
        <w:ind w:hanging="2160" w:start="1440" w:end="0"/>
        <w:rPr/>
      </w:pPr>
      <w:r>
        <w:rPr/>
        <w:t>Floating Price Payor:</w:t>
        <w:tab/>
      </w:r>
    </w:p>
    <w:p>
      <w:pPr>
        <w:pStyle w:val="Normal"/>
        <w:ind w:hanging="2160" w:start="1440" w:end="0"/>
        <w:rPr/>
      </w:pPr>
      <w:r>
        <w:rPr/>
        <w:t>Floating Price:</w:t>
        <w:tab/>
        <w:t xml:space="preserve"> </w:t>
      </w:r>
    </w:p>
    <w:p>
      <w:pPr>
        <w:pStyle w:val="Normal"/>
        <w:ind w:hanging="2160" w:start="1440" w:end="0"/>
        <w:rPr/>
      </w:pPr>
      <w:r>
        <w:rPr/>
        <w:t>Fixed Price Payor:</w:t>
        <w:tab/>
      </w:r>
      <w:r>
        <w:rPr>
          <w:b/>
        </w:rPr>
        <w:t>[remember, deals are reversed on each side of the pipe, also, use different indices]</w:t>
      </w:r>
    </w:p>
    <w:p>
      <w:pPr>
        <w:pStyle w:val="Normal"/>
        <w:ind w:hanging="2160" w:start="1440" w:end="0"/>
        <w:rPr/>
      </w:pPr>
      <w:r>
        <w:rPr/>
        <w:t>Fixed Price:</w:t>
        <w:tab/>
      </w:r>
    </w:p>
    <w:p>
      <w:pPr>
        <w:pStyle w:val="Normal"/>
        <w:ind w:start="-720" w:end="0"/>
        <w:rPr/>
      </w:pPr>
      <w:r>
        <w:rPr/>
      </w:r>
    </w:p>
    <w:p>
      <w:pPr>
        <w:pStyle w:val="Normal"/>
        <w:ind w:start="-720" w:end="0"/>
        <w:rPr/>
      </w:pPr>
      <w:r>
        <w:rPr/>
      </w:r>
    </w:p>
    <w:p>
      <w:pPr>
        <w:pStyle w:val="Normal"/>
        <w:ind w:start="-720" w:end="0"/>
        <w:rPr>
          <w:b/>
          <w:u w:val="single"/>
        </w:rPr>
      </w:pPr>
      <w:r>
        <w:rPr>
          <w:b/>
          <w:u w:val="single"/>
        </w:rPr>
        <w:t>Description of Hedged Item:</w:t>
      </w:r>
    </w:p>
    <w:p>
      <w:pPr>
        <w:pStyle w:val="Normal"/>
        <w:ind w:start="-720" w:end="0"/>
        <w:rPr>
          <w:b/>
          <w:u w:val="single"/>
        </w:rPr>
      </w:pPr>
      <w:r>
        <w:rPr>
          <w:b/>
          <w:u w:val="single"/>
        </w:rPr>
      </w:r>
    </w:p>
    <w:p>
      <w:pPr>
        <w:pStyle w:val="Normal"/>
        <w:ind w:hanging="2160" w:start="1440" w:end="0"/>
        <w:rPr/>
      </w:pPr>
      <w:r>
        <w:rPr/>
        <w:t>Transaction:</w:t>
        <w:tab/>
        <w:t>Firm Natural Gas transportation</w:t>
      </w:r>
    </w:p>
    <w:p>
      <w:pPr>
        <w:pStyle w:val="Normal"/>
        <w:ind w:hanging="2160" w:start="1440" w:end="0"/>
        <w:rPr/>
      </w:pPr>
      <w:r>
        <w:rPr/>
        <w:t>Shipper:</w:t>
      </w:r>
    </w:p>
    <w:p>
      <w:pPr>
        <w:pStyle w:val="Normal"/>
        <w:ind w:hanging="2160" w:start="1440" w:end="0"/>
        <w:rPr/>
      </w:pPr>
      <w:r>
        <w:rPr/>
        <w:t>Trans. Date:</w:t>
        <w:tab/>
      </w:r>
    </w:p>
    <w:p>
      <w:pPr>
        <w:pStyle w:val="Normal"/>
        <w:ind w:hanging="2160" w:start="1440" w:end="0"/>
        <w:rPr/>
      </w:pPr>
      <w:r>
        <w:rPr/>
        <w:t>Quantity:</w:t>
        <w:tab/>
        <w:t>27,500 MMBtu/d</w:t>
        <w:tab/>
        <w:tab/>
      </w:r>
      <w:r>
        <w:rPr>
          <w:b/>
        </w:rPr>
        <w:t>[ 49,000 ]</w:t>
      </w:r>
    </w:p>
    <w:p>
      <w:pPr>
        <w:pStyle w:val="Normal"/>
        <w:ind w:hanging="2160" w:start="1440" w:end="0"/>
        <w:rPr/>
      </w:pPr>
      <w:r>
        <w:rPr/>
        <w:t>Effective Date:</w:t>
        <w:tab/>
        <w:t>01/01/02</w:t>
        <w:tab/>
        <w:tab/>
        <w:tab/>
      </w:r>
      <w:r>
        <w:rPr>
          <w:b/>
        </w:rPr>
        <w:t>[ 01/01/03 ]</w:t>
      </w:r>
    </w:p>
    <w:p>
      <w:pPr>
        <w:pStyle w:val="Normal"/>
        <w:ind w:hanging="2160" w:start="1440" w:end="0"/>
        <w:rPr/>
      </w:pPr>
      <w:r>
        <w:rPr/>
        <w:t>Termination Date:</w:t>
        <w:tab/>
        <w:t>12/31/02</w:t>
        <w:tab/>
        <w:tab/>
        <w:tab/>
      </w:r>
      <w:r>
        <w:rPr>
          <w:b/>
        </w:rPr>
        <w:t>[ 12/31/03 ]</w:t>
      </w:r>
    </w:p>
    <w:p>
      <w:pPr>
        <w:pStyle w:val="Normal"/>
        <w:ind w:hanging="2160" w:start="1440" w:end="0"/>
        <w:rPr/>
      </w:pPr>
      <w:r>
        <w:rPr/>
        <w:t>Trans. Rate:</w:t>
        <w:tab/>
        <w:t>Floating Price.  The arithmetic difference obtained by subtracting the price published in the first issue during the applicable Determination Period in "NGI's Bidweek Survey, Spot Gas Prices, Bidweek average, Southern Cal. Border Avg.," from the price published in the first issue during the applicable Determination Period in "</w:t>
      </w:r>
      <w:r>
        <w:rPr>
          <w:i/>
        </w:rPr>
        <w:t>Inside F.E.R.C.'s</w:t>
      </w:r>
      <w:r>
        <w:rPr/>
        <w:t xml:space="preserve"> Gas Market Report, Prices of Spot Gas Delivered to Pipelines, Index, El Paso Natural Gas Co., San Juan Basin."</w:t>
      </w:r>
    </w:p>
    <w:p>
      <w:pPr>
        <w:pStyle w:val="Normal"/>
        <w:ind w:start="-720" w:end="0"/>
        <w:rPr/>
      </w:pPr>
      <w:r>
        <w:rPr/>
      </w:r>
    </w:p>
    <w:p>
      <w:pPr>
        <w:pStyle w:val="Normal"/>
        <w:ind w:start="-720" w:end="0"/>
        <w:rPr/>
      </w:pPr>
      <w:r>
        <w:rPr/>
      </w:r>
    </w:p>
    <w:p>
      <w:pPr>
        <w:pStyle w:val="Normal"/>
        <w:ind w:start="-720" w:end="0"/>
        <w:rPr>
          <w:b/>
          <w:u w:val="single"/>
        </w:rPr>
      </w:pPr>
      <w:r>
        <w:rPr>
          <w:b/>
          <w:u w:val="single"/>
        </w:rPr>
        <w:t>Risk Management objective and strategy:</w:t>
      </w:r>
    </w:p>
    <w:p>
      <w:pPr>
        <w:pStyle w:val="Normal"/>
        <w:ind w:start="-720" w:end="0"/>
        <w:rPr/>
      </w:pPr>
      <w:r>
        <w:rPr/>
        <w:t>Revenues under the transportation contract vary each month depending on the settlement prices of the indices.  Left unhedged, the deal structure exposes TPC to variability in transportation revenues attributable to changes in the Floating Price during the contract period.   There are two principal risk elements in the transportation structure-  Basis Risk and Commodity Risk.  Basis Risk is the risk that the rate of change each month in the Floating Price at the receipt point varies from the rate of change each month in the Floating Price at the delivery location, resulting in a narrowed differential between the two indices and a commensurate reduction in the revenue under the contract.  TPC mitigates Basis Risk by "locking-in" a fixed differential or margin between the indices through the execution of a combination of two Derivative Hedging Instrument(s).  TPC will buy a fixed price swap (i.e. pay the Floating Price and receive the Fixed Price) at the location proximate to gas receipts, and will sell a fixed price swap (i.e. pay the Fixed Price and receive the Floating Price) at a location proximate to gas deliveries under the transportation contract.   The Commodity Risk is the risk of the variability in the price of natural gas fuel used to provide transportation service under this contract.  Commodity Risk will be managed through the execution of a Derivative Hedging Instrument, whereby TPC will buy a fixed price swap for a quantity of natural gas fuel received at the receipt location.   The time of execution of Derivative Hedging Instruments to manage the Basis Risk and the Commodity Risk may not be coincidental.  The execution of Derivative Hedging Instruments is eligible for designation as a hedging instrument because:</w:t>
      </w:r>
    </w:p>
    <w:p>
      <w:pPr>
        <w:pStyle w:val="Normal"/>
        <w:numPr>
          <w:ilvl w:val="0"/>
          <w:numId w:val="2"/>
        </w:numPr>
        <w:rPr/>
      </w:pPr>
      <w:r>
        <w:rPr/>
        <w:t>The volume under the Derivative Hedging Instrument is identical to the volume of the Hedged Item.</w:t>
      </w:r>
    </w:p>
    <w:p>
      <w:pPr>
        <w:pStyle w:val="Normal"/>
        <w:numPr>
          <w:ilvl w:val="0"/>
          <w:numId w:val="2"/>
        </w:numPr>
        <w:rPr/>
      </w:pPr>
      <w:r>
        <w:rPr/>
        <w:t>The price location under the Derivative Hedging Instrument is proximate to the receipt and delivery locations under the transportation contract.</w:t>
      </w:r>
    </w:p>
    <w:p>
      <w:pPr>
        <w:pStyle w:val="Normal"/>
        <w:numPr>
          <w:ilvl w:val="0"/>
          <w:numId w:val="2"/>
        </w:numPr>
        <w:rPr/>
      </w:pPr>
      <w:r>
        <w:rPr/>
        <w:t>The time period under the Derivative Hedging Instrument is identical to the transportation contract.</w:t>
      </w:r>
    </w:p>
    <w:p>
      <w:pPr>
        <w:pStyle w:val="Normal"/>
        <w:ind w:start="-720" w:end="0"/>
        <w:rPr>
          <w:b/>
          <w:u w:val="single"/>
        </w:rPr>
      </w:pPr>
      <w:r>
        <w:rPr>
          <w:b/>
          <w:u w:val="single"/>
        </w:rPr>
      </w:r>
    </w:p>
    <w:p>
      <w:pPr>
        <w:pStyle w:val="Normal"/>
        <w:ind w:start="-720" w:end="0"/>
        <w:rPr/>
      </w:pPr>
      <w:r>
        <w:rPr>
          <w:b/>
          <w:u w:val="single"/>
        </w:rPr>
        <w:t>Method of assessing effectiveness:</w:t>
      </w:r>
      <w:r>
        <w:rPr/>
        <w:tab/>
        <w:tab/>
      </w:r>
    </w:p>
    <w:p>
      <w:pPr>
        <w:pStyle w:val="Normal"/>
        <w:ind w:start="-720" w:end="0"/>
        <w:rPr/>
      </w:pPr>
      <w:r>
        <w:rPr/>
        <w:t>At inception and throughout the hedge period TPC anticipates that the hedge will perfectly offset the variability of transportation revenues related to the risk being hedged because all material terms match. TPC assumes that there will be no ineffectiveness.</w:t>
      </w:r>
    </w:p>
    <w:p>
      <w:pPr>
        <w:pStyle w:val="Normal"/>
        <w:ind w:start="-720" w:end="0"/>
        <w:rPr/>
      </w:pPr>
      <w:r>
        <w:rPr/>
      </w:r>
    </w:p>
    <w:p>
      <w:pPr>
        <w:pStyle w:val="Normal"/>
        <w:ind w:start="-720" w:end="0"/>
        <w:rPr>
          <w:b/>
          <w:u w:val="single"/>
        </w:rPr>
      </w:pPr>
      <w:r>
        <w:rPr/>
        <w:t>Hedge effectiveness will be tested at inception by comparing the expected cash flows arising from the Hedged Item with those arising from settlement of the Hedging Instrument in accordance with the “Change in Variable Cash Flows Method” (Method 1) described in DIG Issue G7.</w:t>
      </w:r>
    </w:p>
    <w:p>
      <w:pPr>
        <w:pStyle w:val="Normal"/>
        <w:ind w:start="-1440" w:end="0"/>
        <w:rPr>
          <w:b/>
          <w:u w:val="single"/>
        </w:rPr>
      </w:pPr>
      <w:r>
        <w:rPr>
          <w:b/>
          <w:u w:val="single"/>
        </w:rPr>
      </w:r>
    </w:p>
    <w:p>
      <w:pPr>
        <w:pStyle w:val="Normal"/>
        <w:ind w:start="-720" w:end="0"/>
        <w:rPr>
          <w:b/>
        </w:rPr>
      </w:pPr>
      <w:r>
        <w:rPr>
          <w:b/>
        </w:rPr>
      </w:r>
    </w:p>
    <w:p>
      <w:pPr>
        <w:pStyle w:val="Normal"/>
        <w:ind w:start="-1440" w:end="0"/>
        <w:rPr>
          <w:b/>
        </w:rPr>
      </w:pPr>
      <w:r>
        <w:rPr>
          <w:b/>
        </w:rPr>
      </w:r>
    </w:p>
    <w:p>
      <w:pPr>
        <w:pStyle w:val="Normal"/>
        <w:ind w:start="-1440" w:end="0"/>
        <w:rPr/>
      </w:pPr>
      <w:r>
        <w:rPr/>
      </w:r>
    </w:p>
    <w:sectPr>
      <w:type w:val="nextPage"/>
      <w:pgSz w:w="12240" w:h="15840"/>
      <w:pgMar w:left="2606"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0"/>
        <w:numId w:val="3"/>
      </w:numPr>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Indent2">
    <w:name w:val="Body Text Indent 2"/>
    <w:basedOn w:val="Normal"/>
    <w:qFormat/>
    <w:pPr>
      <w:ind w:hanging="0" w:start="720" w:end="0"/>
    </w:pPr>
    <w:rPr>
      <w:sz w:val="36"/>
    </w:rPr>
  </w:style>
  <w:style w:type="paragraph" w:styleId="BodyTextIndent3">
    <w:name w:val="Body Text Indent 3"/>
    <w:basedOn w:val="Normal"/>
    <w:qFormat/>
    <w:pPr>
      <w:ind w:hanging="0" w:start="720" w:end="0"/>
    </w:pPr>
    <w:rPr>
      <w:sz w:val="24"/>
    </w:rPr>
  </w:style>
  <w:style w:type="paragraph" w:styleId="BodyText3">
    <w:name w:val="Body Text 3"/>
    <w:basedOn w:val="Normal"/>
    <w:qFormat/>
    <w:pPr/>
    <w:rPr>
      <w:sz w:val="24"/>
    </w:rPr>
  </w:style>
  <w:style w:type="paragraph" w:styleId="BodyText2">
    <w:name w:val="Body Text 2"/>
    <w:basedOn w:val="Normal"/>
    <w:qFormat/>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2001-01-05T22:09:00Z</dcterms:created>
  <dc:creator>Enron Transportation &amp; Storage</dc:creator>
  <dc:description/>
  <dc:language>en-CA</dc:language>
  <cp:lastModifiedBy>Enron</cp:lastModifiedBy>
  <cp:lastPrinted>2000-11-06T15:34:00Z</cp:lastPrinted>
  <dcterms:modified xsi:type="dcterms:W3CDTF">2001-01-05T22:09:00Z</dcterms:modified>
  <cp:revision>2</cp:revision>
  <dc:subject/>
  <dc:title>Northern Natural Gas Company</dc:title>
</cp:coreProperties>
</file>