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pacing w:before="0" w:after="240"/>
        <w:ind w:hanging="0" w:start="0"/>
        <w:jc w:val="center"/>
        <w:rPr/>
      </w:pPr>
      <w:r>
        <w:rPr/>
        <w:t>Enhancement Request Document</w:t>
      </w:r>
    </w:p>
    <w:tbl>
      <w:tblPr>
        <w:tblW w:w="10278" w:type="dxa"/>
        <w:jc w:val="start"/>
        <w:tblInd w:w="0" w:type="dxa"/>
        <w:tblLayout w:type="fixed"/>
        <w:tblCellMar>
          <w:top w:w="0" w:type="dxa"/>
          <w:start w:w="108" w:type="dxa"/>
          <w:bottom w:w="0" w:type="dxa"/>
          <w:end w:w="108" w:type="dxa"/>
        </w:tblCellMar>
      </w:tblPr>
      <w:tblGrid>
        <w:gridCol w:w="2569"/>
        <w:gridCol w:w="2399"/>
        <w:gridCol w:w="2569"/>
        <w:gridCol w:w="2741"/>
      </w:tblGrid>
      <w:tr>
        <w:trPr>
          <w:trHeight w:val="279" w:hRule="atLeast"/>
        </w:trPr>
        <w:tc>
          <w:tcPr>
            <w:tcW w:w="2569" w:type="dxa"/>
            <w:tcBorders/>
            <w:vAlign w:val="center"/>
          </w:tcPr>
          <w:p>
            <w:pPr>
              <w:pStyle w:val="Header"/>
              <w:rPr>
                <w:rFonts w:ascii="Arial" w:hAnsi="Arial" w:cs="Arial"/>
              </w:rPr>
            </w:pPr>
            <w:r>
              <w:rPr>
                <w:rFonts w:cs="Arial" w:ascii="Arial" w:hAnsi="Arial"/>
              </w:rPr>
              <w:t>Prepared By:</w:t>
            </w:r>
          </w:p>
        </w:tc>
        <w:tc>
          <w:tcPr>
            <w:tcW w:w="2399" w:type="dxa"/>
            <w:tcBorders>
              <w:bottom w:val="single" w:sz="4" w:space="0" w:color="000000"/>
            </w:tcBorders>
            <w:vAlign w:val="center"/>
          </w:tcPr>
          <w:p>
            <w:pPr>
              <w:pStyle w:val="Header"/>
              <w:ind w:end="-108"/>
              <w:rPr>
                <w:rFonts w:ascii="Arial" w:hAnsi="Arial" w:cs="Arial"/>
              </w:rPr>
            </w:pPr>
            <w:r>
              <w:rPr>
                <w:rFonts w:cs="Arial" w:ascii="Arial" w:hAnsi="Arial"/>
              </w:rPr>
              <w:t>Ramona Betancourt</w:t>
            </w:r>
          </w:p>
        </w:tc>
        <w:tc>
          <w:tcPr>
            <w:tcW w:w="2569" w:type="dxa"/>
            <w:tcBorders/>
            <w:vAlign w:val="center"/>
          </w:tcPr>
          <w:p>
            <w:pPr>
              <w:pStyle w:val="Header"/>
              <w:rPr>
                <w:rFonts w:ascii="Arial" w:hAnsi="Arial" w:cs="Arial"/>
              </w:rPr>
            </w:pPr>
            <w:r>
              <w:rPr>
                <w:rFonts w:cs="Arial" w:ascii="Arial" w:hAnsi="Arial"/>
              </w:rPr>
              <w:t>Business Contact:</w:t>
            </w:r>
          </w:p>
        </w:tc>
        <w:tc>
          <w:tcPr>
            <w:tcW w:w="2741" w:type="dxa"/>
            <w:tcBorders>
              <w:bottom w:val="single" w:sz="4" w:space="0" w:color="000000"/>
            </w:tcBorders>
            <w:vAlign w:val="center"/>
          </w:tcPr>
          <w:p>
            <w:pPr>
              <w:pStyle w:val="Header"/>
              <w:rPr>
                <w:rFonts w:ascii="Arial" w:hAnsi="Arial" w:cs="Arial"/>
              </w:rPr>
            </w:pPr>
            <w:r>
              <w:rPr>
                <w:rFonts w:cs="Arial" w:ascii="Arial" w:hAnsi="Arial"/>
              </w:rPr>
              <w:t>Ramona Betancourt</w:t>
            </w:r>
          </w:p>
        </w:tc>
      </w:tr>
      <w:tr>
        <w:trPr>
          <w:trHeight w:val="341" w:hRule="atLeast"/>
        </w:trPr>
        <w:tc>
          <w:tcPr>
            <w:tcW w:w="2569" w:type="dxa"/>
            <w:tcBorders/>
            <w:vAlign w:val="center"/>
          </w:tcPr>
          <w:p>
            <w:pPr>
              <w:pStyle w:val="Header"/>
              <w:rPr>
                <w:rFonts w:ascii="Arial" w:hAnsi="Arial" w:cs="Arial"/>
              </w:rPr>
            </w:pPr>
            <w:r>
              <w:rPr>
                <w:rFonts w:cs="Arial" w:ascii="Arial" w:hAnsi="Arial"/>
              </w:rPr>
              <w:t>Enhancement Item:</w:t>
            </w:r>
          </w:p>
        </w:tc>
        <w:tc>
          <w:tcPr>
            <w:tcW w:w="2399" w:type="dxa"/>
            <w:tcBorders>
              <w:bottom w:val="single" w:sz="4" w:space="0" w:color="000000"/>
            </w:tcBorders>
            <w:vAlign w:val="center"/>
          </w:tcPr>
          <w:p>
            <w:pPr>
              <w:pStyle w:val="Header"/>
              <w:snapToGrid w:val="false"/>
              <w:rPr>
                <w:rFonts w:ascii="Arial" w:hAnsi="Arial" w:cs="Arial"/>
              </w:rPr>
            </w:pPr>
            <w:r>
              <w:rPr>
                <w:rFonts w:cs="Arial" w:ascii="Arial" w:hAnsi="Arial"/>
              </w:rPr>
            </w:r>
          </w:p>
        </w:tc>
        <w:tc>
          <w:tcPr>
            <w:tcW w:w="2569" w:type="dxa"/>
            <w:tcBorders/>
            <w:vAlign w:val="center"/>
          </w:tcPr>
          <w:p>
            <w:pPr>
              <w:pStyle w:val="Header"/>
              <w:rPr>
                <w:rFonts w:ascii="Arial" w:hAnsi="Arial" w:cs="Arial"/>
              </w:rPr>
            </w:pPr>
            <w:r>
              <w:rPr>
                <w:rFonts w:cs="Arial" w:ascii="Arial" w:hAnsi="Arial"/>
              </w:rPr>
              <w:t>Company:</w:t>
            </w:r>
          </w:p>
        </w:tc>
        <w:tc>
          <w:tcPr>
            <w:tcW w:w="2741" w:type="dxa"/>
            <w:tcBorders>
              <w:bottom w:val="single" w:sz="4" w:space="0" w:color="000000"/>
            </w:tcBorders>
            <w:vAlign w:val="center"/>
          </w:tcPr>
          <w:p>
            <w:pPr>
              <w:pStyle w:val="Header"/>
              <w:rPr>
                <w:rFonts w:ascii="Arial" w:hAnsi="Arial" w:cs="Arial"/>
              </w:rPr>
            </w:pPr>
            <w:r>
              <w:rPr>
                <w:rFonts w:cs="Arial" w:ascii="Arial" w:hAnsi="Arial"/>
              </w:rPr>
              <w:t>TW</w:t>
            </w:r>
          </w:p>
        </w:tc>
      </w:tr>
      <w:tr>
        <w:trPr>
          <w:trHeight w:val="359" w:hRule="atLeast"/>
        </w:trPr>
        <w:tc>
          <w:tcPr>
            <w:tcW w:w="2569" w:type="dxa"/>
            <w:tcBorders/>
            <w:vAlign w:val="center"/>
          </w:tcPr>
          <w:p>
            <w:pPr>
              <w:pStyle w:val="Header"/>
              <w:rPr>
                <w:rFonts w:ascii="Arial" w:hAnsi="Arial" w:cs="Arial"/>
              </w:rPr>
            </w:pPr>
            <w:r>
              <w:rPr>
                <w:rFonts w:cs="Arial" w:ascii="Arial" w:hAnsi="Arial"/>
              </w:rPr>
              <w:t>Priority Status:</w:t>
            </w:r>
          </w:p>
        </w:tc>
        <w:tc>
          <w:tcPr>
            <w:tcW w:w="2399" w:type="dxa"/>
            <w:tcBorders>
              <w:bottom w:val="single" w:sz="4" w:space="0" w:color="000000"/>
            </w:tcBorders>
            <w:vAlign w:val="center"/>
          </w:tcPr>
          <w:p>
            <w:pPr>
              <w:pStyle w:val="Header"/>
              <w:rPr>
                <w:rFonts w:ascii="Arial" w:hAnsi="Arial" w:cs="Arial"/>
              </w:rPr>
            </w:pPr>
            <w:r>
              <w:rPr>
                <w:rFonts w:cs="Arial" w:ascii="Arial" w:hAnsi="Arial"/>
              </w:rPr>
              <w:t>High 7/1/00</w:t>
            </w:r>
          </w:p>
        </w:tc>
        <w:tc>
          <w:tcPr>
            <w:tcW w:w="2569" w:type="dxa"/>
            <w:tcBorders/>
            <w:vAlign w:val="center"/>
          </w:tcPr>
          <w:p>
            <w:pPr>
              <w:pStyle w:val="Header"/>
              <w:rPr>
                <w:rFonts w:ascii="Arial" w:hAnsi="Arial" w:cs="Arial"/>
              </w:rPr>
            </w:pPr>
            <w:r>
              <w:rPr>
                <w:rFonts w:cs="Arial" w:ascii="Arial" w:hAnsi="Arial"/>
              </w:rPr>
              <w:t>EDS Contact:</w:t>
            </w:r>
          </w:p>
        </w:tc>
        <w:tc>
          <w:tcPr>
            <w:tcW w:w="2741" w:type="dxa"/>
            <w:tcBorders>
              <w:bottom w:val="single" w:sz="4" w:space="0" w:color="000000"/>
            </w:tcBorders>
            <w:vAlign w:val="center"/>
          </w:tcPr>
          <w:p>
            <w:pPr>
              <w:pStyle w:val="Header"/>
              <w:rPr>
                <w:rFonts w:ascii="Arial" w:hAnsi="Arial" w:cs="Arial"/>
              </w:rPr>
            </w:pPr>
            <w:r>
              <w:rPr>
                <w:rFonts w:cs="Arial" w:ascii="Arial" w:hAnsi="Arial"/>
              </w:rPr>
              <w:t>David Duff/Hasan Kedwaii</w:t>
            </w:r>
          </w:p>
        </w:tc>
      </w:tr>
      <w:tr>
        <w:trPr>
          <w:trHeight w:val="521" w:hRule="atLeast"/>
        </w:trPr>
        <w:tc>
          <w:tcPr>
            <w:tcW w:w="2569" w:type="dxa"/>
            <w:tcBorders/>
            <w:vAlign w:val="center"/>
          </w:tcPr>
          <w:p>
            <w:pPr>
              <w:pStyle w:val="Header"/>
              <w:rPr>
                <w:rFonts w:ascii="Arial" w:hAnsi="Arial" w:cs="Arial"/>
              </w:rPr>
            </w:pPr>
            <w:r>
              <w:rPr>
                <w:rFonts w:cs="Arial" w:ascii="Arial" w:hAnsi="Arial"/>
              </w:rPr>
              <w:t>Supporting documents attached (Y/N):</w:t>
            </w:r>
          </w:p>
        </w:tc>
        <w:tc>
          <w:tcPr>
            <w:tcW w:w="2399" w:type="dxa"/>
            <w:tcBorders>
              <w:bottom w:val="single" w:sz="4" w:space="0" w:color="000000"/>
            </w:tcBorders>
            <w:vAlign w:val="center"/>
          </w:tcPr>
          <w:p>
            <w:pPr>
              <w:pStyle w:val="Header"/>
              <w:rPr>
                <w:rFonts w:ascii="Arial" w:hAnsi="Arial" w:cs="Arial"/>
              </w:rPr>
            </w:pPr>
            <w:r>
              <w:rPr>
                <w:rFonts w:cs="Arial" w:ascii="Arial" w:hAnsi="Arial"/>
              </w:rPr>
              <w:t>no</w:t>
            </w:r>
          </w:p>
        </w:tc>
        <w:tc>
          <w:tcPr>
            <w:tcW w:w="2569" w:type="dxa"/>
            <w:tcBorders/>
            <w:vAlign w:val="center"/>
          </w:tcPr>
          <w:p>
            <w:pPr>
              <w:pStyle w:val="Header"/>
              <w:rPr>
                <w:rFonts w:ascii="Arial" w:hAnsi="Arial" w:cs="Arial"/>
              </w:rPr>
            </w:pPr>
            <w:r>
              <w:rPr>
                <w:rFonts w:cs="Arial" w:ascii="Arial" w:hAnsi="Arial"/>
              </w:rPr>
              <w:t>Date completed &amp; moved to production:</w:t>
            </w:r>
          </w:p>
        </w:tc>
        <w:tc>
          <w:tcPr>
            <w:tcW w:w="2741" w:type="dxa"/>
            <w:tcBorders>
              <w:bottom w:val="single" w:sz="4" w:space="0" w:color="000000"/>
            </w:tcBorders>
            <w:vAlign w:val="center"/>
          </w:tcPr>
          <w:p>
            <w:pPr>
              <w:pStyle w:val="Header"/>
              <w:snapToGrid w:val="false"/>
              <w:rPr>
                <w:rFonts w:ascii="Arial" w:hAnsi="Arial" w:cs="Arial"/>
              </w:rPr>
            </w:pPr>
            <w:r>
              <w:rPr>
                <w:rFonts w:cs="Arial" w:ascii="Arial" w:hAnsi="Arial"/>
              </w:rPr>
            </w:r>
          </w:p>
        </w:tc>
      </w:tr>
    </w:tbl>
    <w:p>
      <w:pPr>
        <w:pStyle w:val="Normal"/>
        <w:numPr>
          <w:ilvl w:val="0"/>
          <w:numId w:val="0"/>
        </w:numPr>
        <w:jc w:val="center"/>
        <w:outlineLvl w:val="0"/>
        <w:rPr>
          <w:rFonts w:ascii="Arial" w:hAnsi="Arial" w:cs="Arial"/>
          <w:b/>
          <w:sz w:val="26"/>
        </w:rPr>
      </w:pPr>
      <w:r>
        <w:rPr>
          <w:rFonts w:cs="Arial" w:ascii="Arial" w:hAnsi="Arial"/>
          <w:b/>
          <w:sz w:val="26"/>
        </w:rPr>
      </w:r>
    </w:p>
    <w:p>
      <w:pPr>
        <w:pStyle w:val="Normal"/>
        <w:numPr>
          <w:ilvl w:val="0"/>
          <w:numId w:val="0"/>
        </w:numPr>
        <w:jc w:val="center"/>
        <w:outlineLvl w:val="0"/>
        <w:rPr>
          <w:rFonts w:ascii="Arial" w:hAnsi="Arial" w:cs="Arial"/>
          <w:b/>
          <w:sz w:val="26"/>
        </w:rPr>
      </w:pPr>
      <w:r>
        <w:rPr>
          <w:rFonts w:cs="Arial" w:ascii="Arial" w:hAnsi="Arial"/>
          <w:b/>
          <w:sz w:val="26"/>
        </w:rPr>
        <w:t>TW Cash for Fuel</w:t>
      </w:r>
    </w:p>
    <w:p>
      <w:pPr>
        <w:pStyle w:val="Normal"/>
        <w:numPr>
          <w:ilvl w:val="0"/>
          <w:numId w:val="0"/>
        </w:numPr>
        <w:jc w:val="center"/>
        <w:outlineLvl w:val="0"/>
        <w:rPr>
          <w:rFonts w:ascii="Arial" w:hAnsi="Arial" w:cs="Arial"/>
          <w:b/>
          <w:sz w:val="26"/>
        </w:rPr>
      </w:pPr>
      <w:r>
        <w:rPr>
          <w:rFonts w:cs="Arial" w:ascii="Arial" w:hAnsi="Arial"/>
          <w:b/>
          <w:sz w:val="26"/>
        </w:rPr>
        <w:t>CBS/TMS/ System Wide Postings</w:t>
      </w:r>
    </w:p>
    <w:p>
      <w:pPr>
        <w:pStyle w:val="Normal"/>
        <w:numPr>
          <w:ilvl w:val="0"/>
          <w:numId w:val="0"/>
        </w:numPr>
        <w:jc w:val="center"/>
        <w:outlineLvl w:val="0"/>
        <w:rPr>
          <w:rFonts w:ascii="Arial" w:hAnsi="Arial" w:cs="Arial"/>
          <w:b/>
          <w:sz w:val="26"/>
        </w:rPr>
      </w:pPr>
      <w:r>
        <w:rPr>
          <w:rFonts w:cs="Arial" w:ascii="Arial" w:hAnsi="Arial"/>
          <w:b/>
          <w:sz w:val="26"/>
        </w:rPr>
        <w:t>5/24/00</w:t>
      </w:r>
    </w:p>
    <w:p>
      <w:pPr>
        <w:pStyle w:val="Normal"/>
        <w:rPr>
          <w:rFonts w:ascii="Arial" w:hAnsi="Arial" w:cs="Arial"/>
          <w:b/>
          <w:sz w:val="24"/>
        </w:rPr>
      </w:pPr>
      <w:r>
        <w:rPr>
          <w:rFonts w:cs="Arial" w:ascii="Arial" w:hAnsi="Arial"/>
          <w:b/>
          <w:sz w:val="24"/>
        </w:rPr>
      </w:r>
    </w:p>
    <w:p>
      <w:pPr>
        <w:pStyle w:val="Normal"/>
        <w:numPr>
          <w:ilvl w:val="0"/>
          <w:numId w:val="0"/>
        </w:numPr>
        <w:outlineLvl w:val="0"/>
        <w:rPr>
          <w:rFonts w:ascii="Arial" w:hAnsi="Arial" w:cs="Arial"/>
          <w:sz w:val="24"/>
          <w:u w:val="single"/>
        </w:rPr>
      </w:pPr>
      <w:r>
        <w:rPr>
          <w:rFonts w:cs="Arial" w:ascii="Arial" w:hAnsi="Arial"/>
          <w:b/>
          <w:sz w:val="24"/>
          <w:u w:val="single"/>
        </w:rPr>
        <w:t>PURPOSE AND DESCRIPTION OF REQUEST:</w:t>
      </w:r>
    </w:p>
    <w:p>
      <w:pPr>
        <w:pStyle w:val="Normal"/>
        <w:rPr>
          <w:rFonts w:ascii="Arial" w:hAnsi="Arial" w:cs="Arial"/>
          <w:sz w:val="24"/>
          <w:u w:val="single"/>
        </w:rPr>
      </w:pPr>
      <w:r>
        <w:rPr>
          <w:rFonts w:cs="Arial" w:ascii="Arial" w:hAnsi="Arial"/>
          <w:sz w:val="24"/>
          <w:u w:val="single"/>
        </w:rPr>
      </w:r>
    </w:p>
    <w:p>
      <w:pPr>
        <w:pStyle w:val="Normal"/>
        <w:numPr>
          <w:ilvl w:val="0"/>
          <w:numId w:val="9"/>
        </w:numPr>
        <w:rPr>
          <w:rFonts w:ascii="Arial" w:hAnsi="Arial" w:cs="Arial"/>
        </w:rPr>
      </w:pPr>
      <w:r>
        <w:rPr>
          <w:rFonts w:cs="Arial" w:ascii="Arial" w:hAnsi="Arial"/>
        </w:rPr>
        <w:t>Implement TW’s new fuel for cash tariff service effective 7/1/00. Marketing is in the process of reviewing tariff sheets and submitting to FERC for approval. The requirements listed below are a draft. I do not have all the requirements identified by marketing. They are still reviewing with other pipelines that have this service to verify how they implemented and polling our customers on this service.</w:t>
      </w:r>
    </w:p>
    <w:p>
      <w:pPr>
        <w:pStyle w:val="Normal"/>
        <w:rPr>
          <w:rFonts w:ascii="Arial" w:hAnsi="Arial" w:cs="Arial"/>
        </w:rPr>
      </w:pPr>
      <w:r>
        <w:rPr>
          <w:rFonts w:cs="Arial" w:ascii="Arial" w:hAnsi="Arial"/>
        </w:rPr>
      </w:r>
    </w:p>
    <w:p>
      <w:pPr>
        <w:pStyle w:val="Normal"/>
        <w:numPr>
          <w:ilvl w:val="0"/>
          <w:numId w:val="9"/>
        </w:numPr>
        <w:rPr>
          <w:rFonts w:ascii="Arial" w:hAnsi="Arial" w:cs="Arial"/>
        </w:rPr>
      </w:pPr>
      <w:r>
        <w:rPr>
          <w:rFonts w:cs="Arial" w:ascii="Arial" w:hAnsi="Arial"/>
        </w:rPr>
        <w:t>Steve Harris would like estimate based on requirements below by 6/9/00</w:t>
      </w:r>
    </w:p>
    <w:p>
      <w:pPr>
        <w:pStyle w:val="Normal"/>
        <w:rPr>
          <w:rFonts w:ascii="Arial" w:hAnsi="Arial" w:cs="Arial"/>
        </w:rPr>
      </w:pPr>
      <w:r>
        <w:rPr>
          <w:rFonts w:cs="Arial" w:ascii="Arial" w:hAnsi="Arial"/>
        </w:rPr>
      </w:r>
    </w:p>
    <w:p>
      <w:pPr>
        <w:pStyle w:val="Normal"/>
        <w:numPr>
          <w:ilvl w:val="0"/>
          <w:numId w:val="9"/>
        </w:numPr>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numPr>
          <w:ilvl w:val="0"/>
          <w:numId w:val="0"/>
        </w:numPr>
        <w:outlineLvl w:val="0"/>
        <w:rPr>
          <w:rFonts w:ascii="Arial" w:hAnsi="Arial" w:cs="Arial"/>
          <w:b/>
          <w:sz w:val="24"/>
          <w:u w:val="single"/>
        </w:rPr>
      </w:pPr>
      <w:r>
        <w:rPr>
          <w:rFonts w:cs="Arial" w:ascii="Arial" w:hAnsi="Arial"/>
          <w:b/>
          <w:sz w:val="24"/>
          <w:u w:val="single"/>
        </w:rPr>
        <w:t>REQUIREMENTS:</w:t>
      </w:r>
    </w:p>
    <w:p>
      <w:pPr>
        <w:pStyle w:val="Normal"/>
        <w:rPr>
          <w:rFonts w:ascii="Arial" w:hAnsi="Arial" w:cs="Arial"/>
          <w:b/>
          <w:sz w:val="24"/>
          <w:u w:val="single"/>
        </w:rPr>
      </w:pPr>
      <w:r>
        <w:rPr>
          <w:rFonts w:cs="Arial" w:ascii="Arial" w:hAnsi="Arial"/>
          <w:b/>
          <w:sz w:val="24"/>
          <w:u w:val="single"/>
        </w:rPr>
      </w:r>
    </w:p>
    <w:p>
      <w:pPr>
        <w:pStyle w:val="Normal"/>
        <w:rPr/>
      </w:pPr>
      <w:r>
        <w:rPr/>
        <w:t>Nomination and Scheduling system changes (High-level estimate) approx. 1 month to code &amp; 3 to 4 weeks to test</w:t>
      </w:r>
    </w:p>
    <w:p>
      <w:pPr>
        <w:pStyle w:val="Normal"/>
        <w:rPr/>
      </w:pPr>
      <w:r>
        <w:rPr/>
      </w:r>
    </w:p>
    <w:p>
      <w:pPr>
        <w:pStyle w:val="Normal"/>
        <w:numPr>
          <w:ilvl w:val="0"/>
          <w:numId w:val="4"/>
        </w:numPr>
        <w:rPr/>
      </w:pPr>
      <w:r>
        <w:rPr/>
        <w:t>TMS system would need to be enhanced to build a daily re-validation process for nominations to re-validate that the fuel % calculation changes in the rates system are pulled across to the nomination system and the nominated quantity is re-calculated correctly to reflect the correct fuel %. This would need to be either a daily process or a process generated before each nomination cycle for the gas day depending on how marketing sales this service.</w:t>
      </w:r>
    </w:p>
    <w:p>
      <w:pPr>
        <w:pStyle w:val="Normal"/>
        <w:numPr>
          <w:ilvl w:val="0"/>
          <w:numId w:val="4"/>
        </w:numPr>
        <w:rPr/>
      </w:pPr>
      <w:r>
        <w:rPr/>
        <w:t>We may need to nominate &amp; schedule the fuel as a one sided receipt with TW confirming rather than the point operator. We may also need a special transaction type code for fuel if we do not have one from GISB ??? This is still up in the air as to how we plan to implement this process.</w:t>
      </w:r>
    </w:p>
    <w:p>
      <w:pPr>
        <w:pStyle w:val="Normal"/>
        <w:rPr/>
      </w:pPr>
      <w:r>
        <w:rPr/>
      </w:r>
    </w:p>
    <w:p>
      <w:pPr>
        <w:pStyle w:val="Normal"/>
        <w:rPr/>
      </w:pPr>
      <w:r>
        <w:rPr/>
        <w:t>Rates System Changes (High level estimate unknown at this time)</w:t>
      </w:r>
    </w:p>
    <w:p>
      <w:pPr>
        <w:pStyle w:val="Normal"/>
        <w:rPr/>
      </w:pPr>
      <w:r>
        <w:rPr/>
      </w:r>
    </w:p>
    <w:p>
      <w:pPr>
        <w:pStyle w:val="Normal"/>
        <w:numPr>
          <w:ilvl w:val="0"/>
          <w:numId w:val="8"/>
        </w:numPr>
        <w:rPr/>
      </w:pPr>
      <w:r>
        <w:rPr/>
        <w:t>Allow the ability to enter fuel on a rate amount and percent amount. In the current process today we use percentage not rate or dollar amount for fuel.</w:t>
      </w:r>
    </w:p>
    <w:p>
      <w:pPr>
        <w:pStyle w:val="Normal"/>
        <w:numPr>
          <w:ilvl w:val="0"/>
          <w:numId w:val="8"/>
        </w:numPr>
        <w:rPr/>
      </w:pPr>
      <w:r>
        <w:rPr/>
        <w:t>Add new charge code ID for retained fuel sale. This would be tied to the shippers transport contract.</w:t>
      </w:r>
    </w:p>
    <w:p>
      <w:pPr>
        <w:pStyle w:val="Normal"/>
        <w:numPr>
          <w:ilvl w:val="0"/>
          <w:numId w:val="8"/>
        </w:numPr>
        <w:rPr/>
      </w:pPr>
      <w:r>
        <w:rPr/>
        <w:t>Enter fuel rates and volumes in the rate system. This would be a manual process done by Christine and the marketers that currently entered all the TW discounted rates.  This process will be very labor intensive since the discounts must be loaded at each possible receipt to delivery path available on a contract for the rate, then each path loaded again to zero the fuel percent out.</w:t>
      </w:r>
    </w:p>
    <w:p>
      <w:pPr>
        <w:pStyle w:val="Normal"/>
        <w:numPr>
          <w:ilvl w:val="0"/>
          <w:numId w:val="8"/>
        </w:numPr>
        <w:rPr/>
      </w:pPr>
      <w:r>
        <w:rPr/>
        <w:t>Need a prompt in the rate system to ask you if you would like to enter another discount on the current path selected and entered before you move to the next entry.</w:t>
      </w:r>
    </w:p>
    <w:p>
      <w:pPr>
        <w:pStyle w:val="Normal"/>
        <w:rPr/>
      </w:pPr>
      <w:r>
        <w:rPr/>
      </w:r>
    </w:p>
    <w:p>
      <w:pPr>
        <w:pStyle w:val="Normal"/>
        <w:rPr/>
      </w:pPr>
      <w:r>
        <w:rPr/>
        <w:t>System Wide Notices and Posting changes (Minor changes in this aera)</w:t>
      </w:r>
    </w:p>
    <w:p>
      <w:pPr>
        <w:pStyle w:val="Normal"/>
        <w:rPr/>
      </w:pPr>
      <w:r>
        <w:rPr/>
      </w:r>
    </w:p>
    <w:p>
      <w:pPr>
        <w:pStyle w:val="Normal"/>
        <w:numPr>
          <w:ilvl w:val="0"/>
          <w:numId w:val="3"/>
        </w:numPr>
        <w:rPr/>
      </w:pPr>
      <w:r>
        <w:rPr/>
        <w:t>Assumption: The posting of the applicable price, volumes available, and points would be handled through a normal word document that is posted on an as needed basis. (Daily/Monthly). Marketing would prepare this posting and send Toby to post. We would need to know how long to post and what category to post this document to. May require small modifications to the system wide notices if a new category of notices is needed for this available service. Assumption: If we use the category of Notice of Bid Solicitation, then no change would be needed on the internet posting site. If marketing wants to post to a new site, this would be a system change.</w:t>
      </w:r>
    </w:p>
    <w:p>
      <w:pPr>
        <w:pStyle w:val="Normal"/>
        <w:rPr/>
      </w:pPr>
      <w:r>
        <w:rPr/>
      </w:r>
    </w:p>
    <w:p>
      <w:pPr>
        <w:pStyle w:val="Normal"/>
        <w:rPr/>
      </w:pPr>
      <w:r>
        <w:rPr/>
        <w:t>Contract system changes (Unknown estimate at this time)</w:t>
      </w:r>
    </w:p>
    <w:p>
      <w:pPr>
        <w:pStyle w:val="Normal"/>
        <w:rPr/>
      </w:pPr>
      <w:r>
        <w:rPr/>
      </w:r>
    </w:p>
    <w:p>
      <w:pPr>
        <w:pStyle w:val="Normal"/>
        <w:numPr>
          <w:ilvl w:val="0"/>
          <w:numId w:val="3"/>
        </w:numPr>
        <w:rPr/>
      </w:pPr>
      <w:r>
        <w:rPr/>
        <w:t>Would need some process to record agreed upon volume, rate, and receipt points for the fuel cash option. This agreement would be tied to the transport contract.</w:t>
      </w:r>
    </w:p>
    <w:p>
      <w:pPr>
        <w:pStyle w:val="Normal"/>
        <w:numPr>
          <w:ilvl w:val="0"/>
          <w:numId w:val="3"/>
        </w:numPr>
        <w:rPr/>
      </w:pPr>
      <w:r>
        <w:rPr/>
        <w:t>Would need some process to capture this cash fuel transaction to any capacity release agreements. Not sure what type of changes this would mean.</w:t>
      </w:r>
    </w:p>
    <w:p>
      <w:pPr>
        <w:pStyle w:val="Normal"/>
        <w:rPr/>
      </w:pPr>
      <w:r>
        <w:rPr/>
      </w:r>
    </w:p>
    <w:p>
      <w:pPr>
        <w:pStyle w:val="Normal"/>
        <w:rPr/>
      </w:pPr>
      <w:r>
        <w:rPr/>
      </w:r>
    </w:p>
    <w:p>
      <w:pPr>
        <w:pStyle w:val="Normal"/>
        <w:rPr/>
      </w:pPr>
      <w:r>
        <w:rPr/>
        <w:t>TW Invoice system changes (Majority of the system work would be in this area, No est. of time frame yet)</w:t>
      </w:r>
    </w:p>
    <w:p>
      <w:pPr>
        <w:pStyle w:val="Normal"/>
        <w:rPr/>
      </w:pPr>
      <w:r>
        <w:rPr/>
      </w:r>
    </w:p>
    <w:p>
      <w:pPr>
        <w:pStyle w:val="Normal"/>
        <w:numPr>
          <w:ilvl w:val="0"/>
          <w:numId w:val="6"/>
        </w:numPr>
        <w:rPr/>
      </w:pPr>
      <w:r>
        <w:rPr/>
        <w:t>Add a new charge code for fuel retained cash value.</w:t>
      </w:r>
    </w:p>
    <w:p>
      <w:pPr>
        <w:pStyle w:val="Normal"/>
        <w:numPr>
          <w:ilvl w:val="0"/>
          <w:numId w:val="6"/>
        </w:numPr>
        <w:rPr/>
      </w:pPr>
      <w:r>
        <w:rPr/>
        <w:t>Add a new invoice type for fuel invoice to the invoice system. These invoices would need to be linked to the transportation contract.</w:t>
      </w:r>
    </w:p>
    <w:p>
      <w:pPr>
        <w:pStyle w:val="Normal"/>
        <w:numPr>
          <w:ilvl w:val="0"/>
          <w:numId w:val="6"/>
        </w:numPr>
        <w:rPr/>
      </w:pPr>
      <w:r>
        <w:rPr/>
        <w:t>The invoice processing would not be based on a scheduled volume, instead, these invoices would be generated based on the agreed upon volume, rate and receipt point locations that the shipper signed and agreed to pay us for in cash rather than in kind. (Accounting group would prefer that this cash reimbursement be handled as an imbalance position rather than a sale since we have additional income tax payments on any sales transaction.) It could be that the rate is loaded in the rates system like some daily index rate?</w:t>
      </w:r>
    </w:p>
    <w:p>
      <w:pPr>
        <w:pStyle w:val="Normal"/>
        <w:numPr>
          <w:ilvl w:val="0"/>
          <w:numId w:val="6"/>
        </w:numPr>
        <w:rPr/>
      </w:pPr>
      <w:r>
        <w:rPr/>
        <w:t>We would need to have the same system functionality process in place for these invoices just like the demand &amp; commodity works today. (Preview, print, delete, approve, disapprove)</w:t>
      </w:r>
    </w:p>
    <w:p>
      <w:pPr>
        <w:pStyle w:val="Normal"/>
        <w:rPr/>
      </w:pPr>
      <w:r>
        <w:rPr/>
      </w:r>
    </w:p>
    <w:p>
      <w:pPr>
        <w:pStyle w:val="Normal"/>
        <w:rPr/>
      </w:pPr>
      <w:r>
        <w:rPr/>
        <w:t>TW Accounting system changes (Majority of the system work would be in this area, No est. of time frame yet)</w:t>
      </w:r>
    </w:p>
    <w:p>
      <w:pPr>
        <w:pStyle w:val="Normal"/>
        <w:rPr/>
      </w:pPr>
      <w:r>
        <w:rPr/>
      </w:r>
    </w:p>
    <w:p>
      <w:pPr>
        <w:pStyle w:val="Normal"/>
        <w:numPr>
          <w:ilvl w:val="0"/>
          <w:numId w:val="7"/>
        </w:numPr>
        <w:rPr/>
      </w:pPr>
      <w:r>
        <w:rPr/>
        <w:t>The system would need to create a process that would compare/calculate that the fuel paid in cash is equal to the fuel retained &amp; collected in kind (Retained fuel). This process would be done at a contract level each month and used to verify that we collected all the fuel. If a contract had a portion of the fuel in kind and in cash, a process would need to be added that would include both options.</w:t>
      </w:r>
    </w:p>
    <w:p>
      <w:pPr>
        <w:pStyle w:val="Normal"/>
        <w:numPr>
          <w:ilvl w:val="0"/>
          <w:numId w:val="7"/>
        </w:numPr>
        <w:rPr/>
      </w:pPr>
      <w:r>
        <w:rPr/>
        <w:t>We would also need to have some way of reconciling this cash option &amp; in kind volumes back to our measured fuel volumes and fuel retained account. 1740-9100?</w:t>
      </w:r>
    </w:p>
    <w:p>
      <w:pPr>
        <w:pStyle w:val="Normal"/>
        <w:numPr>
          <w:ilvl w:val="0"/>
          <w:numId w:val="7"/>
        </w:numPr>
        <w:rPr/>
      </w:pPr>
      <w:r>
        <w:rPr/>
        <w:t>The system would need to track these new shipper imbalances for fuel. Not sure if this would be added to the existing shipper imbalance reports?</w:t>
      </w:r>
    </w:p>
    <w:p>
      <w:pPr>
        <w:pStyle w:val="Normal"/>
        <w:numPr>
          <w:ilvl w:val="0"/>
          <w:numId w:val="7"/>
        </w:numPr>
        <w:rPr/>
      </w:pPr>
      <w:r>
        <w:rPr/>
        <w:t>Shipper Imbalance batch job will need to be changed to include these new imbalance calculations</w:t>
      </w:r>
    </w:p>
    <w:p>
      <w:pPr>
        <w:pStyle w:val="Normal"/>
        <w:numPr>
          <w:ilvl w:val="0"/>
          <w:numId w:val="7"/>
        </w:numPr>
        <w:rPr/>
      </w:pPr>
      <w:r>
        <w:rPr/>
        <w:t>Contract Balance confirmation reports would need to be changed to include this new imbalance calculation.</w:t>
      </w:r>
    </w:p>
    <w:p>
      <w:pPr>
        <w:pStyle w:val="Normal"/>
        <w:numPr>
          <w:ilvl w:val="0"/>
          <w:numId w:val="7"/>
        </w:numPr>
        <w:rPr/>
      </w:pPr>
      <w:r>
        <w:rPr/>
        <w:t>May need to offer some type of trading imbalance service if we go to creating shipper imbalance due to fuel adjustments. If we do offer this service, we would need to look at automating this process. Unclear as to an implementation plan yet.</w:t>
      </w:r>
    </w:p>
    <w:p>
      <w:pPr>
        <w:pStyle w:val="Normal"/>
        <w:rPr/>
      </w:pPr>
      <w:r>
        <w:rPr/>
      </w:r>
    </w:p>
    <w:p>
      <w:pPr>
        <w:pStyle w:val="Normal"/>
        <w:rPr/>
      </w:pPr>
      <w:r>
        <w:rPr/>
        <w:t>Other items to change:</w:t>
      </w:r>
    </w:p>
    <w:p>
      <w:pPr>
        <w:pStyle w:val="Normal"/>
        <w:rPr/>
      </w:pPr>
      <w:r>
        <w:rPr/>
      </w:r>
    </w:p>
    <w:p>
      <w:pPr>
        <w:pStyle w:val="Normal"/>
        <w:numPr>
          <w:ilvl w:val="0"/>
          <w:numId w:val="5"/>
        </w:numPr>
        <w:rPr/>
      </w:pPr>
      <w:r>
        <w:rPr/>
        <w:t>We may find that we will need additional reports or screens developed to track &amp; record this new service. As we find out more information on how marketing will implement this could change the items noted above.</w:t>
      </w:r>
    </w:p>
    <w:p>
      <w:pPr>
        <w:pStyle w:val="Normal"/>
        <w:rPr/>
      </w:pPr>
      <w:r>
        <w:rPr/>
      </w:r>
    </w:p>
    <w:p>
      <w:pPr>
        <w:pStyle w:val="Normal"/>
        <w:rPr/>
      </w:pPr>
      <w:r>
        <w:rPr/>
        <w:t>Assumption:</w:t>
      </w:r>
    </w:p>
    <w:p>
      <w:pPr>
        <w:pStyle w:val="Normal"/>
        <w:rPr/>
      </w:pPr>
      <w:r>
        <w:rPr/>
      </w:r>
    </w:p>
    <w:p>
      <w:pPr>
        <w:pStyle w:val="Normal"/>
        <w:numPr>
          <w:ilvl w:val="0"/>
          <w:numId w:val="2"/>
        </w:numPr>
        <w:rPr/>
      </w:pPr>
      <w:r>
        <w:rPr/>
        <w:t>Marketing will handle the allocation of the available fuel volumes when they exceed the MAXDTQ of shippers requesting fuel at a point. This would be a manual process. My concern is if we exceed the amount available would we have to handle on a pro-rata basis? This could mean that for the shippers requesting cash verses in kind method, we prorate between all shippers and they will still have a portion of their volumes collected in kind for that contract in order to total fuel from each shipper’s contract.</w:t>
      </w:r>
    </w:p>
    <w:p>
      <w:pPr>
        <w:pStyle w:val="Normal"/>
        <w:numPr>
          <w:ilvl w:val="0"/>
          <w:numId w:val="9"/>
        </w:numPr>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numPr>
          <w:ilvl w:val="0"/>
          <w:numId w:val="9"/>
        </w:numPr>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numPr>
          <w:ilvl w:val="0"/>
          <w:numId w:val="9"/>
        </w:numPr>
        <w:rPr>
          <w:rFonts w:ascii="Arial" w:hAnsi="Arial" w:cs="Arial"/>
        </w:rPr>
      </w:pPr>
      <w:r>
        <w:rPr>
          <w:rFonts w:cs="Arial" w:ascii="Arial" w:hAnsi="Arial"/>
        </w:rPr>
      </w:r>
    </w:p>
    <w:p>
      <w:pPr>
        <w:pStyle w:val="Normal"/>
        <w:rPr>
          <w:rFonts w:ascii="Arial" w:hAnsi="Arial" w:cs="Arial"/>
        </w:rPr>
      </w:pPr>
      <w:r>
        <w:rPr>
          <w:rFonts w:cs="Arial" w:ascii="Arial" w:hAnsi="Arial"/>
        </w:rPr>
      </w:r>
    </w:p>
    <w:sectPr>
      <w:footerReference w:type="default" r:id="rId2"/>
      <w:type w:val="nextPage"/>
      <w:pgSz w:w="12240" w:h="15840"/>
      <w:pgMar w:left="1008" w:right="1008" w:gutter="0" w:header="0" w:top="576"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lang w:eastAsia="en-US"/>
      </w:rPr>
      <w:t xml:space="preserve">Page </w:t>
    </w:r>
    <w:r>
      <w:rPr>
        <w:lang w:eastAsia="en-US"/>
      </w:rPr>
      <w:fldChar w:fldCharType="begin"/>
    </w:r>
    <w:r>
      <w:rPr>
        <w:lang w:eastAsia="en-US"/>
      </w:rPr>
      <w:instrText xml:space="preserve"> PAGE </w:instrText>
    </w:r>
    <w:r>
      <w:rPr>
        <w:lang w:eastAsia="en-US"/>
      </w:rPr>
      <w:fldChar w:fldCharType="separate"/>
    </w:r>
    <w:r>
      <w:rPr>
        <w:lang w:eastAsia="en-US"/>
      </w:rPr>
      <w:t>2</w:t>
    </w:r>
    <w:r>
      <w:rPr>
        <w:lang w:eastAsia="en-US"/>
      </w:rPr>
      <w:fldChar w:fldCharType="end"/>
    </w:r>
    <w:r>
      <w:rPr>
        <w:lang w:eastAsia="en-US"/>
      </w:rPr>
      <w:t xml:space="preserve"> of </w:t>
    </w:r>
    <w:r>
      <w:rPr>
        <w:lang w:eastAsia="en-US"/>
      </w:rPr>
      <w:fldChar w:fldCharType="begin"/>
    </w:r>
    <w:r>
      <w:rPr>
        <w:lang w:eastAsia="en-US"/>
      </w:rPr>
      <w:instrText xml:space="preserve"> NUMPAGES \* ARABIC </w:instrText>
    </w:r>
    <w:r>
      <w:rPr>
        <w:lang w:eastAsia="en-US"/>
      </w:rPr>
      <w:fldChar w:fldCharType="separate"/>
    </w:r>
    <w:r>
      <w:rPr>
        <w:lang w:eastAsia="en-US"/>
      </w:rPr>
      <w:t>2</w:t>
    </w:r>
    <w:r>
      <w:rPr>
        <w:lang w:eastAsia="en-US"/>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sz w:val="24"/>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Master.dot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2000-05-24T16:56:00Z</dcterms:created>
  <dc:creator>Marysusan Banavali</dc:creator>
  <dc:description/>
  <dc:language>en-CA</dc:language>
  <cp:lastModifiedBy>ramona betancourt</cp:lastModifiedBy>
  <cp:lastPrinted>1999-06-25T08:25:00Z</cp:lastPrinted>
  <dcterms:modified xsi:type="dcterms:W3CDTF">2000-05-24T16:56:00Z</dcterms:modified>
  <cp:revision>2</cp:revision>
  <dc:subject/>
  <dc:title>NAME</dc:title>
</cp:coreProperties>
</file>