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TRANSWESTERN PIPELINE COMPANY</w:t>
      </w:r>
    </w:p>
    <w:p>
      <w:pPr>
        <w:pStyle w:val="Heading1"/>
        <w:ind w:hanging="0" w:start="0"/>
        <w:rPr>
          <w:sz w:val="32"/>
        </w:rPr>
      </w:pPr>
      <w:r>
        <w:rPr>
          <w:sz w:val="32"/>
        </w:rPr>
        <w:t>CAPACITY SUBSCRIPTION LEVEL FORECAST</w:t>
      </w:r>
    </w:p>
    <w:p>
      <w:pPr>
        <w:pStyle w:val="Normal"/>
        <w:jc w:val="center"/>
        <w:rPr>
          <w:rFonts w:ascii="Arial" w:hAnsi="Arial" w:cs="Arial"/>
          <w:b/>
          <w:bCs/>
          <w:sz w:val="32"/>
        </w:rPr>
      </w:pPr>
      <w:r>
        <w:rPr>
          <w:rFonts w:cs="Arial" w:ascii="Arial" w:hAnsi="Arial"/>
          <w:b/>
          <w:bCs/>
          <w:sz w:val="32"/>
        </w:rPr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Subscription Level By Segment (including capacity subject to ROFR)</w:t>
      </w:r>
      <w:r>
        <w:rPr>
          <w:rFonts w:cs="Arial" w:ascii="Arial" w:hAnsi="Arial"/>
        </w:rPr>
        <w:t>:</w:t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  <w:b/>
          <w:bCs/>
        </w:rPr>
        <w:tab/>
        <w:tab/>
      </w:r>
      <w:r>
        <w:rPr>
          <w:rFonts w:cs="Arial" w:ascii="Arial" w:hAnsi="Arial"/>
          <w:u w:val="single"/>
        </w:rPr>
        <w:t>2002</w:t>
      </w:r>
      <w:r>
        <w:rPr>
          <w:rFonts w:cs="Arial" w:ascii="Arial" w:hAnsi="Arial"/>
        </w:rPr>
        <w:tab/>
        <w:tab/>
      </w:r>
      <w:r>
        <w:rPr>
          <w:rFonts w:cs="Arial" w:ascii="Arial" w:hAnsi="Arial"/>
          <w:u w:val="single"/>
        </w:rPr>
        <w:t>2003</w:t>
      </w:r>
      <w:r>
        <w:rPr>
          <w:rFonts w:cs="Arial" w:ascii="Arial" w:hAnsi="Arial"/>
        </w:rPr>
        <w:tab/>
        <w:tab/>
      </w:r>
      <w:r>
        <w:rPr>
          <w:rFonts w:cs="Arial" w:ascii="Arial" w:hAnsi="Arial"/>
          <w:u w:val="single"/>
        </w:rPr>
        <w:t>2004</w:t>
      </w:r>
      <w:r>
        <w:rPr>
          <w:rFonts w:cs="Arial" w:ascii="Arial" w:hAnsi="Arial"/>
        </w:rPr>
        <w:tab/>
        <w:tab/>
      </w:r>
      <w:r>
        <w:rPr>
          <w:rFonts w:cs="Arial" w:ascii="Arial" w:hAnsi="Arial"/>
          <w:u w:val="single"/>
        </w:rPr>
        <w:t>2005</w:t>
      </w:r>
      <w:r>
        <w:rPr>
          <w:rFonts w:cs="Arial" w:ascii="Arial" w:hAnsi="Arial"/>
        </w:rPr>
        <w:tab/>
        <w:tab/>
      </w:r>
      <w:r>
        <w:rPr>
          <w:rFonts w:cs="Arial" w:ascii="Arial" w:hAnsi="Arial"/>
          <w:u w:val="single"/>
        </w:rPr>
        <w:t>2006</w:t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Mainline West</w:t>
        <w:tab/>
        <w:t>98%</w:t>
        <w:tab/>
        <w:tab/>
        <w:t>98%</w:t>
        <w:tab/>
        <w:tab/>
        <w:t>98%</w:t>
        <w:tab/>
        <w:tab/>
        <w:t>95%</w:t>
        <w:tab/>
        <w:tab/>
        <w:t>90%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San Juan Lateral</w:t>
        <w:tab/>
        <w:t>95%</w:t>
        <w:tab/>
        <w:tab/>
        <w:t>95%</w:t>
        <w:tab/>
        <w:tab/>
        <w:t>93%</w:t>
        <w:tab/>
        <w:tab/>
        <w:t>90%</w:t>
        <w:tab/>
        <w:tab/>
        <w:t>76%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East of Thoreau</w:t>
        <w:tab/>
        <w:t>86%</w:t>
        <w:tab/>
        <w:tab/>
        <w:t>86%</w:t>
        <w:tab/>
        <w:tab/>
        <w:t>86%</w:t>
        <w:tab/>
        <w:tab/>
        <w:t>85%</w:t>
        <w:tab/>
        <w:tab/>
        <w:t>85%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  <w:u w:val="single"/>
        </w:rPr>
        <w:t>Resubscription Strategy</w:t>
      </w:r>
      <w:r>
        <w:rPr>
          <w:rFonts w:cs="Arial" w:ascii="Arial" w:hAnsi="Arial"/>
        </w:rPr>
        <w:t>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Mainline West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4"/>
        </w:numPr>
        <w:rPr>
          <w:rFonts w:ascii="Arial" w:hAnsi="Arial" w:cs="Arial"/>
        </w:rPr>
      </w:pPr>
      <w:r>
        <w:rPr>
          <w:rFonts w:cs="Arial" w:ascii="Arial" w:hAnsi="Arial"/>
        </w:rPr>
        <w:t>Sell unsubscribed capacity forward now while spreads are favorable, prior to proposed expansions’ in-service</w:t>
      </w:r>
    </w:p>
    <w:p>
      <w:pPr>
        <w:pStyle w:val="Normal"/>
        <w:numPr>
          <w:ilvl w:val="0"/>
          <w:numId w:val="4"/>
        </w:numPr>
        <w:rPr>
          <w:rFonts w:ascii="Arial" w:hAnsi="Arial" w:cs="Arial"/>
        </w:rPr>
      </w:pPr>
      <w:r>
        <w:rPr>
          <w:rFonts w:cs="Arial" w:ascii="Arial" w:hAnsi="Arial"/>
        </w:rPr>
        <w:t>Negotiate rollover of ROFR capacity prior to trigger dates to meet revenue targets</w:t>
      </w:r>
    </w:p>
    <w:p>
      <w:pPr>
        <w:pStyle w:val="Normal"/>
        <w:numPr>
          <w:ilvl w:val="0"/>
          <w:numId w:val="4"/>
        </w:numPr>
        <w:rPr>
          <w:rFonts w:ascii="Arial" w:hAnsi="Arial" w:cs="Arial"/>
        </w:rPr>
      </w:pPr>
      <w:r>
        <w:rPr>
          <w:rFonts w:cs="Arial" w:ascii="Arial" w:hAnsi="Arial"/>
        </w:rPr>
        <w:t>Maintain and grow market share – price existing capacity to compete with costly new 3</w:t>
      </w:r>
      <w:r>
        <w:rPr>
          <w:rFonts w:cs="Arial" w:ascii="Arial" w:hAnsi="Arial"/>
          <w:vertAlign w:val="superscript"/>
        </w:rPr>
        <w:t>rd</w:t>
      </w:r>
      <w:r>
        <w:rPr>
          <w:rFonts w:cs="Arial" w:ascii="Arial" w:hAnsi="Arial"/>
        </w:rPr>
        <w:t xml:space="preserve"> party expansions</w:t>
      </w:r>
    </w:p>
    <w:p>
      <w:pPr>
        <w:pStyle w:val="Normal"/>
        <w:numPr>
          <w:ilvl w:val="0"/>
          <w:numId w:val="4"/>
        </w:numPr>
        <w:rPr>
          <w:rFonts w:ascii="Arial" w:hAnsi="Arial" w:cs="Arial"/>
        </w:rPr>
      </w:pPr>
      <w:r>
        <w:rPr>
          <w:rFonts w:cs="Arial" w:ascii="Arial" w:hAnsi="Arial"/>
        </w:rPr>
        <w:t>Market diversification – Gain access to existing markets not served by TW via construction, holding 3</w:t>
      </w:r>
      <w:r>
        <w:rPr>
          <w:rFonts w:cs="Arial" w:ascii="Arial" w:hAnsi="Arial"/>
          <w:vertAlign w:val="superscript"/>
        </w:rPr>
        <w:t>rd</w:t>
      </w:r>
      <w:r>
        <w:rPr>
          <w:rFonts w:cs="Arial" w:ascii="Arial" w:hAnsi="Arial"/>
        </w:rPr>
        <w:t xml:space="preserve"> party pipe capacity and joint ventures with strategic business partners</w:t>
      </w:r>
    </w:p>
    <w:p>
      <w:pPr>
        <w:pStyle w:val="Normal"/>
        <w:numPr>
          <w:ilvl w:val="0"/>
          <w:numId w:val="4"/>
        </w:numPr>
        <w:rPr>
          <w:rFonts w:ascii="Arial" w:hAnsi="Arial" w:cs="Arial"/>
        </w:rPr>
      </w:pPr>
      <w:r>
        <w:rPr>
          <w:rFonts w:cs="Arial" w:ascii="Arial" w:hAnsi="Arial"/>
        </w:rPr>
        <w:t>Build to and connect with new incremental markets in East of California (targeted power plants and high growth regions)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San Juan Lateral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Package San Juan capacity with West capacity to maximize price spread of contractual path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Supply diversification – Gain access to incremental production via partnering with producers and expanding receipt interconnects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Interconnect access to Rockies and Wyoming supplies to supplement San Juan production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Maintain operational flexibility to transport supplies Eastward on the mainline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East of Thoreau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Connect new supplies in Permian</w:t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Market diversification – Maintain operational ability to deliver to Texas intrastate and mid-continent interstate markets</w:t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Operation flexibility – implement bi-directional capabilities at targeted interconnects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bCs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2001-11-26T19:24:00Z</dcterms:created>
  <dc:creator>ldonoho</dc:creator>
  <dc:description/>
  <dc:language>en-CA</dc:language>
  <cp:lastModifiedBy>ldonoho</cp:lastModifiedBy>
  <cp:lastPrinted>2001-11-26T17:11:00Z</cp:lastPrinted>
  <dcterms:modified xsi:type="dcterms:W3CDTF">2001-11-27T13:37:00Z</dcterms:modified>
  <cp:revision>11</cp:revision>
  <dc:subject/>
  <dc:title>TRANSWESTERN PIPELINE COMPANY</dc:title>
</cp:coreProperties>
</file>