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Larry Campbell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May 16,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Summary of “Contract Installation” Costs for 2001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216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864"/>
        <w:gridCol w:w="86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61,000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73,978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38,100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89,842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56,700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113,896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57,400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93,000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Capital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88,000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382,000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473,000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14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Laguna Soil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57,000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Pit Removal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Dehy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Pit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37,000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Eunice Ground Water Mon.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Gomez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40,000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109,000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Expense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275,000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75,000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2,000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733,000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810,000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Totals: Cap. + Exp.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163,000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5,000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1,115,000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1,283,000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(a)  A project specific expense  work order number is not available for these projects</w:t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(b)  Figures only include Contract Installation $s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2001-03-07T11:36:00Z</dcterms:created>
  <dc:creator>OTS</dc:creator>
  <dc:description/>
  <dc:language>en-CA</dc:language>
  <cp:lastModifiedBy>grobins</cp:lastModifiedBy>
  <cp:lastPrinted>2000-07-24T15:55:00Z</cp:lastPrinted>
  <dcterms:modified xsi:type="dcterms:W3CDTF">2001-05-16T13:20:00Z</dcterms:modified>
  <cp:revision>10</cp:revision>
  <dc:subject/>
  <dc:title>George C. Robinson, P.E._</dc:title>
</cp:coreProperties>
</file>