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Sempra Energy Trading Corp.</w:t>
        <w:tab/>
        <w:tab/>
        <w:tab/>
        <w:tab/>
        <w:t>July 26, 2000</w:t>
      </w:r>
    </w:p>
    <w:p>
      <w:pPr>
        <w:pStyle w:val="Normal"/>
        <w:widowControl w:val="false"/>
        <w:rPr>
          <w:lang w:eastAsia="en-US"/>
        </w:rPr>
      </w:pPr>
      <w:r>
        <w:rPr>
          <w:lang w:eastAsia="en-US"/>
        </w:rPr>
        <w:t>Attn:   Stephanie Katz</w:t>
      </w:r>
    </w:p>
    <w:p>
      <w:pPr>
        <w:pStyle w:val="Normal"/>
        <w:widowControl w:val="false"/>
        <w:rPr>
          <w:lang w:eastAsia="en-US"/>
        </w:rPr>
      </w:pPr>
      <w:r>
        <w:rPr>
          <w:lang w:eastAsia="en-US"/>
        </w:rPr>
        <w:t>Re: FTS-1 Agreement No.  27293</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 (“Transwestern”) and Sempra Energy Trading Corp. (“Shipper”) have entered into a Firm Transportation Service Agreement (“FTS-1 Agreement ) Contract # 27293.  Pursuant to negotiations, Transwestern and Shipper agree to amend the FTS-1 Agreement as follows:</w:t>
      </w:r>
    </w:p>
    <w:p>
      <w:pPr>
        <w:pStyle w:val="Normal"/>
        <w:widowControl w:val="false"/>
        <w:rPr>
          <w:lang w:eastAsia="en-US"/>
        </w:rPr>
      </w:pPr>
      <w:r>
        <w:rPr>
          <w:lang w:eastAsia="en-US"/>
        </w:rPr>
      </w:r>
    </w:p>
    <w:p>
      <w:pPr>
        <w:pStyle w:val="Normal"/>
        <w:widowControl w:val="false"/>
        <w:numPr>
          <w:ilvl w:val="0"/>
          <w:numId w:val="1"/>
        </w:numPr>
        <w:rPr>
          <w:lang w:eastAsia="en-US"/>
        </w:rPr>
      </w:pPr>
      <w:r>
        <w:rPr>
          <w:lang w:eastAsia="en-US"/>
        </w:rPr>
        <w:t>The term of this Amendment shall be from November 1, 2000  through October 31, 2001.</w:t>
      </w:r>
    </w:p>
    <w:p>
      <w:pPr>
        <w:pStyle w:val="Normal"/>
        <w:widowControl w:val="false"/>
        <w:rPr>
          <w:lang w:eastAsia="en-US"/>
        </w:rPr>
      </w:pPr>
      <w:r>
        <w:rPr>
          <w:lang w:eastAsia="en-US"/>
        </w:rPr>
      </w:r>
    </w:p>
    <w:p>
      <w:pPr>
        <w:pStyle w:val="Normal"/>
        <w:widowControl w:val="false"/>
        <w:numPr>
          <w:ilvl w:val="0"/>
          <w:numId w:val="1"/>
        </w:numPr>
        <w:rPr>
          <w:lang w:eastAsia="en-US"/>
        </w:rPr>
      </w:pPr>
      <w:r>
        <w:rPr>
          <w:lang w:eastAsia="en-US"/>
        </w:rPr>
        <w:t>The Discounted Rate for the FTS-1 Agreement is as follows:</w:t>
      </w:r>
    </w:p>
    <w:p>
      <w:pPr>
        <w:pStyle w:val="Normal"/>
        <w:widowControl w:val="false"/>
        <w:rPr>
          <w:lang w:eastAsia="en-US"/>
        </w:rPr>
      </w:pPr>
      <w:r>
        <w:rPr>
          <w:lang w:eastAsia="en-US"/>
        </w:rPr>
        <w:tab/>
      </w:r>
    </w:p>
    <w:p>
      <w:pPr>
        <w:pStyle w:val="Normal"/>
        <w:widowControl w:val="false"/>
        <w:rPr>
          <w:lang w:eastAsia="en-US"/>
        </w:rPr>
      </w:pPr>
      <w:r>
        <w:rPr>
          <w:lang w:eastAsia="en-US"/>
        </w:rPr>
        <w:tab/>
        <w:tab/>
        <w:tab/>
        <w:t>$  .2850/MMBtu/day - Total Charge *</w:t>
      </w:r>
    </w:p>
    <w:p>
      <w:pPr>
        <w:pStyle w:val="Normal"/>
        <w:widowControl w:val="false"/>
        <w:rPr>
          <w:lang w:eastAsia="en-US"/>
        </w:rPr>
      </w:pPr>
      <w:r>
        <w:rPr>
          <w:lang w:eastAsia="en-US"/>
        </w:rPr>
      </w:r>
    </w:p>
    <w:p>
      <w:pPr>
        <w:pStyle w:val="Normal"/>
        <w:widowControl w:val="false"/>
        <w:rPr>
          <w:lang w:eastAsia="en-US"/>
        </w:rPr>
      </w:pPr>
      <w:r>
        <w:rPr>
          <w:lang w:eastAsia="en-US"/>
        </w:rPr>
        <w:t>*    The combined discounted commodity and reservation rate for the term of this Amendment shall be $.2850/MMBtu (Total Charge) multiplied by the total contract quantity.  The Total Charge shall include all applicable surcharges, provided that the transportation rates set forth above shall in no event be greater than the maximum or lower than the minimum rates provided in Transwestern’s FERC Gas Tariff, as amended from time to time.  Transwestern shall allocate the combined rate between the reservation and commodity components inclusive of surcharges.</w:t>
      </w:r>
    </w:p>
    <w:p>
      <w:pPr>
        <w:pStyle w:val="Normal"/>
        <w:widowControl w:val="false"/>
        <w:rPr>
          <w:lang w:eastAsia="en-US"/>
        </w:rPr>
      </w:pPr>
      <w:r>
        <w:rPr>
          <w:lang w:eastAsia="en-US"/>
        </w:rPr>
        <w:tab/>
      </w:r>
    </w:p>
    <w:p>
      <w:pPr>
        <w:pStyle w:val="Normal"/>
        <w:widowControl w:val="false"/>
        <w:rPr>
          <w:lang w:eastAsia="en-US"/>
        </w:rPr>
      </w:pPr>
      <w:r>
        <w:rPr>
          <w:lang w:eastAsia="en-US"/>
        </w:rPr>
        <w:t>In  addition to the above stated rates, Shipper shall also pay any applicable fuel pursuant to Transwestern’s FERC Gas Tariff, as well as any surcharges authorized under Transwestern’s FERC Gas Tariff after the effective date of this agreement.  The transportation rates, set forth above, shall in no event be greater than the maximum or lower than the minimum rates provided in Transwestern’s FERC Gas  Tariff, as amended from time to time.</w:t>
      </w:r>
    </w:p>
    <w:p>
      <w:pPr>
        <w:pStyle w:val="Normal"/>
        <w:widowControl w:val="false"/>
        <w:rPr>
          <w:lang w:eastAsia="en-US"/>
        </w:rPr>
      </w:pPr>
      <w:r>
        <w:rPr>
          <w:lang w:eastAsia="en-US"/>
        </w:rPr>
      </w:r>
    </w:p>
    <w:p>
      <w:pPr>
        <w:pStyle w:val="Normal"/>
        <w:widowControl w:val="false"/>
        <w:rPr>
          <w:lang w:eastAsia="en-US"/>
        </w:rPr>
      </w:pPr>
      <w:r>
        <w:rPr>
          <w:lang w:eastAsia="en-US"/>
        </w:rPr>
        <w:t>3.   The Discounted Rate shall apply to receipts and deliveries at the primary points of receipt and delivery set forth on Appendix A to the FTS-1 Agreement.  The Discounted Rate shall also apply to alternate receipt points in Transwestern’s East of Thoreau (EOT) Area and alternate delivery points at the California Border.  If any alternate receipt or delivery points are utilized other than alternate receipt points in Transwestern’s EOT Area or alternate delivery points at the California Border, the Discounted Rate shall not be applicable and Transwestern’s maximum rates shall apply during the time such other alternate points are utilized.</w:t>
      </w:r>
    </w:p>
    <w:p>
      <w:pPr>
        <w:pStyle w:val="Normal"/>
        <w:widowControl w:val="false"/>
        <w:rPr>
          <w:lang w:eastAsia="en-US"/>
        </w:rPr>
      </w:pPr>
      <w:r>
        <w:rPr>
          <w:lang w:eastAsia="en-US"/>
        </w:rPr>
      </w:r>
    </w:p>
    <w:p>
      <w:pPr>
        <w:pStyle w:val="Normal"/>
        <w:widowControl w:val="false"/>
        <w:rPr>
          <w:lang w:eastAsia="en-US"/>
        </w:rPr>
      </w:pPr>
      <w:r>
        <w:rPr>
          <w:lang w:eastAsia="en-US"/>
        </w:rPr>
        <w:t>4.   Each party agrees that it will maintain this Amendment, all of its contents and subsequent discount documentation and 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a party becomes aware of a judicial or administrative proceeding or request that has resulted or that may result in such disclosure, it shall so notify the other party immediately and will also take all actions necessary to maintain confidentiality of all discount communications and documents.</w:t>
      </w:r>
    </w:p>
    <w:p>
      <w:pPr>
        <w:pStyle w:val="Normal"/>
        <w:widowControl w:val="false"/>
        <w:rPr>
          <w:lang w:eastAsia="en-US"/>
        </w:rPr>
      </w:pPr>
      <w:r>
        <w:rPr>
          <w:lang w:eastAsia="en-US"/>
        </w:rPr>
      </w:r>
    </w:p>
    <w:p>
      <w:pPr>
        <w:pStyle w:val="Normal"/>
        <w:widowControl w:val="false"/>
        <w:rPr>
          <w:lang w:eastAsia="en-US"/>
        </w:rPr>
      </w:pPr>
      <w:r>
        <w:rPr>
          <w:lang w:eastAsia="en-US"/>
        </w:rPr>
        <w:t>The parties agree that a facsimile of this Amendment and the FTS-1 Agreement when properly executed and transmitted, shall be considered for all purposes to be an original contract, and shall be deemed for all purposes to be signed and constitute a binding agreement.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effective November 1, 2000.  No other terms and conditions of the FTS-1 Agreement are affected hereby.  Except as amended herein, the FTS-1 Agreement shall remain in full force and effect.</w:t>
      </w:r>
      <w:r>
        <w:br w:type="page"/>
      </w:r>
    </w:p>
    <w:p>
      <w:pPr>
        <w:pStyle w:val="Normal"/>
        <w:widowControl w:val="false"/>
        <w:rPr>
          <w:lang w:eastAsia="en-US"/>
        </w:rPr>
      </w:pPr>
      <w:r>
        <w:rPr>
          <w:lang w:eastAsia="en-US"/>
        </w:rPr>
      </w:r>
    </w:p>
    <w:p>
      <w:pPr>
        <w:pStyle w:val="Normal"/>
        <w:widowControl w:val="false"/>
        <w:rPr>
          <w:lang w:eastAsia="en-US"/>
        </w:rPr>
      </w:pPr>
      <w:r>
        <w:rPr>
          <w:lang w:eastAsia="en-US"/>
        </w:rPr>
        <w:t>This Amendment shall be binding and inure to the benefits of the Parties hereto and their respective successors and assigns.</w:t>
      </w:r>
    </w:p>
    <w:p>
      <w:pPr>
        <w:pStyle w:val="Normal"/>
        <w:widowControl w:val="false"/>
        <w:rPr>
          <w:lang w:eastAsia="en-US"/>
        </w:rPr>
      </w:pPr>
      <w:r>
        <w:rPr>
          <w:lang w:eastAsia="en-US"/>
        </w:rPr>
      </w:r>
    </w:p>
    <w:p>
      <w:pPr>
        <w:pStyle w:val="Normal"/>
        <w:widowControl w:val="false"/>
        <w:rPr>
          <w:lang w:eastAsia="en-US"/>
        </w:rPr>
      </w:pPr>
      <w:r>
        <w:rPr>
          <w:lang w:eastAsia="en-US"/>
        </w:rPr>
        <w:t>ACCEPTED AND AGREED TO                                   ACCEPTED AND AGREED TO</w:t>
      </w:r>
    </w:p>
    <w:p>
      <w:pPr>
        <w:pStyle w:val="Normal"/>
        <w:widowControl w:val="false"/>
        <w:rPr>
          <w:lang w:eastAsia="en-US"/>
        </w:rPr>
      </w:pPr>
      <w:r>
        <w:rPr>
          <w:lang w:eastAsia="en-US"/>
        </w:rPr>
      </w:r>
    </w:p>
    <w:p>
      <w:pPr>
        <w:pStyle w:val="Normal"/>
        <w:widowControl w:val="false"/>
        <w:rPr>
          <w:lang w:eastAsia="en-US"/>
        </w:rPr>
      </w:pPr>
      <w:r>
        <w:rPr>
          <w:lang w:eastAsia="en-US"/>
        </w:rPr>
        <w:t>This _________ day of _________________, 2000       This _________ day of _________________, 2000.</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w:t>
        <w:tab/>
        <w:t xml:space="preserve">    SEMPRA TRADING CORP.</w:t>
      </w:r>
    </w:p>
    <w:p>
      <w:pPr>
        <w:pStyle w:val="Normal"/>
        <w:widowControl w:val="false"/>
        <w:rPr>
          <w:lang w:eastAsia="en-US"/>
        </w:rPr>
      </w:pPr>
      <w:r>
        <w:rPr>
          <w:lang w:eastAsia="en-US"/>
        </w:rPr>
      </w:r>
    </w:p>
    <w:p>
      <w:pPr>
        <w:pStyle w:val="Normal"/>
        <w:widowControl w:val="false"/>
        <w:rPr>
          <w:lang w:eastAsia="en-US"/>
        </w:rPr>
      </w:pPr>
      <w:r>
        <w:rPr>
          <w:lang w:eastAsia="en-US"/>
        </w:rPr>
        <w:t xml:space="preserve">By: ______________________________________       By: ______________________________________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 xml:space="preserve">Title: ____________________________________        Title: ____________________________________   </w:t>
      </w:r>
    </w:p>
    <w:sectPr>
      <w:type w:val="nextPage"/>
      <w:pgSz w:w="12240" w:h="15840"/>
      <w:pgMar w:left="1152" w:right="1152"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2000-07-25T17:02:00Z</dcterms:created>
  <dc:creator>Christine A Stokes</dc:creator>
  <dc:description/>
  <dc:language>en-CA</dc:language>
  <cp:lastModifiedBy>Enron</cp:lastModifiedBy>
  <cp:lastPrinted>2000-07-25T09:16:00Z</cp:lastPrinted>
  <dcterms:modified xsi:type="dcterms:W3CDTF">2000-07-25T17:06:00Z</dcterms:modified>
  <cp:revision>4</cp:revision>
  <dc:subject/>
  <dc:title>Enron Capital &amp; Trade Resources</dc:title>
</cp:coreProperties>
</file>