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widowControl w:val="false"/>
        <w:rPr>
          <w:lang w:eastAsia="en-US"/>
        </w:rPr>
      </w:pPr>
      <w:r>
        <w:rPr>
          <w:lang w:eastAsia="en-US"/>
        </w:rPr>
      </w:r>
    </w:p>
    <w:p>
      <w:pPr>
        <w:pStyle w:val="Normal"/>
        <w:widowControl w:val="false"/>
        <w:rPr>
          <w:lang w:eastAsia="en-US"/>
        </w:rPr>
      </w:pPr>
      <w:r>
        <w:rPr>
          <w:lang w:eastAsia="en-US"/>
        </w:rPr>
      </w:r>
    </w:p>
    <w:p>
      <w:pPr>
        <w:pStyle w:val="Normal"/>
        <w:widowControl w:val="false"/>
        <w:rPr>
          <w:lang w:eastAsia="en-US"/>
        </w:rPr>
      </w:pPr>
      <w:r>
        <w:rPr>
          <w:lang w:eastAsia="en-US"/>
        </w:rPr>
      </w:r>
    </w:p>
    <w:p>
      <w:pPr>
        <w:pStyle w:val="Normal"/>
        <w:widowControl w:val="false"/>
        <w:rPr>
          <w:lang w:eastAsia="en-US"/>
        </w:rPr>
      </w:pPr>
      <w:r>
        <w:rPr>
          <w:lang w:eastAsia="en-US"/>
        </w:rPr>
      </w:r>
    </w:p>
    <w:p>
      <w:pPr>
        <w:pStyle w:val="Normal"/>
        <w:widowControl w:val="false"/>
        <w:rPr>
          <w:lang w:eastAsia="en-US"/>
        </w:rPr>
      </w:pPr>
      <w:r>
        <w:rPr>
          <w:lang w:eastAsia="en-US"/>
        </w:rPr>
      </w:r>
    </w:p>
    <w:p>
      <w:pPr>
        <w:pStyle w:val="Normal"/>
        <w:widowControl w:val="false"/>
        <w:rPr>
          <w:lang w:eastAsia="en-US"/>
        </w:rPr>
      </w:pPr>
      <w:r>
        <w:rPr>
          <w:lang w:eastAsia="en-US"/>
        </w:rPr>
      </w:r>
    </w:p>
    <w:p>
      <w:pPr>
        <w:pStyle w:val="Normal"/>
        <w:widowControl w:val="false"/>
        <w:rPr>
          <w:lang w:eastAsia="en-US"/>
        </w:rPr>
      </w:pPr>
      <w:r>
        <w:rPr>
          <w:lang w:eastAsia="en-US"/>
        </w:rPr>
      </w:r>
    </w:p>
    <w:p>
      <w:pPr>
        <w:pStyle w:val="Normal"/>
        <w:widowControl w:val="false"/>
        <w:rPr>
          <w:lang w:eastAsia="en-US"/>
        </w:rPr>
      </w:pPr>
      <w:r>
        <w:rPr>
          <w:lang w:eastAsia="en-US"/>
        </w:rPr>
        <w:t>Sempra Energy Trading Corp.</w:t>
        <w:tab/>
        <w:tab/>
        <w:tab/>
        <w:tab/>
        <w:t>June 28, 2000</w:t>
      </w:r>
    </w:p>
    <w:p>
      <w:pPr>
        <w:pStyle w:val="Normal"/>
        <w:widowControl w:val="false"/>
        <w:rPr>
          <w:lang w:eastAsia="en-US"/>
        </w:rPr>
      </w:pPr>
      <w:r>
        <w:rPr>
          <w:lang w:eastAsia="en-US"/>
        </w:rPr>
        <w:t>Attn:   Stephanie Katz</w:t>
      </w:r>
    </w:p>
    <w:p>
      <w:pPr>
        <w:pStyle w:val="Normal"/>
        <w:widowControl w:val="false"/>
        <w:rPr>
          <w:lang w:eastAsia="en-US"/>
        </w:rPr>
      </w:pPr>
      <w:r>
        <w:rPr>
          <w:lang w:eastAsia="en-US"/>
        </w:rPr>
        <w:t>Re: FTS-1 Agreement No.  27270</w:t>
      </w:r>
    </w:p>
    <w:p>
      <w:pPr>
        <w:pStyle w:val="Normal"/>
        <w:widowControl w:val="false"/>
        <w:rPr>
          <w:lang w:eastAsia="en-US"/>
        </w:rPr>
      </w:pPr>
      <w:r>
        <w:rPr>
          <w:lang w:eastAsia="en-US"/>
        </w:rPr>
      </w:r>
    </w:p>
    <w:p>
      <w:pPr>
        <w:pStyle w:val="Normal"/>
        <w:widowControl w:val="false"/>
        <w:tabs>
          <w:tab w:val="clear" w:pos="720"/>
          <w:tab w:val="left" w:pos="9990" w:leader="none"/>
        </w:tabs>
        <w:rPr>
          <w:lang w:eastAsia="en-US"/>
        </w:rPr>
      </w:pPr>
      <w:r>
        <w:rPr>
          <w:lang w:eastAsia="en-US"/>
        </w:rPr>
        <w:t>Pursuant to negotiations, Transwestern Pipeline Company (“Transwestern”) and Sempra Energy Trading Corp.  (“Shipper”) agree as follows regarding the provisions of firm transportation service:</w:t>
      </w:r>
    </w:p>
    <w:p>
      <w:pPr>
        <w:pStyle w:val="Normal"/>
        <w:widowControl w:val="false"/>
        <w:rPr>
          <w:lang w:eastAsia="en-US"/>
        </w:rPr>
      </w:pPr>
      <w:r>
        <w:rPr>
          <w:lang w:eastAsia="en-US"/>
        </w:rPr>
      </w:r>
    </w:p>
    <w:p>
      <w:pPr>
        <w:pStyle w:val="Normal"/>
        <w:widowControl w:val="false"/>
        <w:numPr>
          <w:ilvl w:val="0"/>
          <w:numId w:val="1"/>
        </w:numPr>
        <w:rPr>
          <w:lang w:eastAsia="en-US"/>
        </w:rPr>
      </w:pPr>
      <w:r>
        <w:rPr>
          <w:lang w:eastAsia="en-US"/>
        </w:rPr>
        <w:t>Shipper and Transwestern have entered into a Firm Transportation Service Agreement (“FTS-1”) Contract # 27270.</w:t>
      </w:r>
    </w:p>
    <w:p>
      <w:pPr>
        <w:pStyle w:val="Normal"/>
        <w:widowControl w:val="false"/>
        <w:rPr>
          <w:lang w:eastAsia="en-US"/>
        </w:rPr>
      </w:pPr>
      <w:r>
        <w:rPr>
          <w:lang w:eastAsia="en-US"/>
        </w:rPr>
      </w:r>
    </w:p>
    <w:p>
      <w:pPr>
        <w:pStyle w:val="Normal"/>
        <w:widowControl w:val="false"/>
        <w:rPr>
          <w:lang w:eastAsia="en-US"/>
        </w:rPr>
      </w:pPr>
      <w:r>
        <w:rPr>
          <w:lang w:eastAsia="en-US"/>
        </w:rPr>
        <w:t>2.    The term of the discounted rate provided hereunder shall be from July 1, 2000  through October 31, 2000.</w:t>
      </w:r>
    </w:p>
    <w:p>
      <w:pPr>
        <w:pStyle w:val="Normal"/>
        <w:widowControl w:val="false"/>
        <w:rPr>
          <w:lang w:eastAsia="en-US"/>
        </w:rPr>
      </w:pPr>
      <w:r>
        <w:rPr>
          <w:lang w:eastAsia="en-US"/>
        </w:rPr>
      </w:r>
    </w:p>
    <w:p>
      <w:pPr>
        <w:pStyle w:val="Normal"/>
        <w:widowControl w:val="false"/>
        <w:rPr>
          <w:lang w:eastAsia="en-US"/>
        </w:rPr>
      </w:pPr>
      <w:r>
        <w:rPr>
          <w:lang w:eastAsia="en-US"/>
        </w:rPr>
        <w:t xml:space="preserve">                  </w:t>
      </w:r>
      <w:r>
        <w:rPr>
          <w:lang w:eastAsia="en-US"/>
        </w:rPr>
        <w:t>The discounted rate for the FTS-1 agreement is as follows:</w:t>
      </w:r>
    </w:p>
    <w:p>
      <w:pPr>
        <w:pStyle w:val="Normal"/>
        <w:widowControl w:val="false"/>
        <w:rPr>
          <w:lang w:eastAsia="en-US"/>
        </w:rPr>
      </w:pPr>
      <w:r>
        <w:rPr>
          <w:lang w:eastAsia="en-US"/>
        </w:rPr>
        <w:tab/>
      </w:r>
    </w:p>
    <w:p>
      <w:pPr>
        <w:pStyle w:val="Normal"/>
        <w:widowControl w:val="false"/>
        <w:rPr>
          <w:lang w:eastAsia="en-US"/>
        </w:rPr>
      </w:pPr>
      <w:r>
        <w:rPr>
          <w:lang w:eastAsia="en-US"/>
        </w:rPr>
        <w:tab/>
        <w:tab/>
        <w:tab/>
        <w:t>$  .2928/MMBtu/day - Total Charge *</w:t>
      </w:r>
    </w:p>
    <w:p>
      <w:pPr>
        <w:pStyle w:val="Normal"/>
        <w:widowControl w:val="false"/>
        <w:rPr>
          <w:lang w:eastAsia="en-US"/>
        </w:rPr>
      </w:pPr>
      <w:r>
        <w:rPr>
          <w:lang w:eastAsia="en-US"/>
        </w:rPr>
      </w:r>
    </w:p>
    <w:p>
      <w:pPr>
        <w:pStyle w:val="Normal"/>
        <w:widowControl w:val="false"/>
        <w:rPr>
          <w:lang w:eastAsia="en-US"/>
        </w:rPr>
      </w:pPr>
      <w:r>
        <w:rPr>
          <w:lang w:eastAsia="en-US"/>
        </w:rPr>
        <w:t>*    The combined discounted commodity and reservation rate for the term of this discount shall be $.2928/MMBtu (rate) multiplied by the total contract quantity.  The total charge shall include all applicable surcharges, provided that the transportation rates set forth above shall in no event be greater than the maximum or lower than the minimum rates provided in Transwestern’s FERC Gas Tariff, as amended from time to time.  Transwestern shall allocate the combined rate between the reservation and commodity components inclusive of surcharges.</w:t>
      </w:r>
    </w:p>
    <w:p>
      <w:pPr>
        <w:pStyle w:val="Normal"/>
        <w:widowControl w:val="false"/>
        <w:rPr>
          <w:lang w:eastAsia="en-US"/>
        </w:rPr>
      </w:pPr>
      <w:r>
        <w:rPr>
          <w:lang w:eastAsia="en-US"/>
        </w:rPr>
        <w:tab/>
      </w:r>
    </w:p>
    <w:p>
      <w:pPr>
        <w:pStyle w:val="Normal"/>
        <w:widowControl w:val="false"/>
        <w:rPr>
          <w:lang w:eastAsia="en-US"/>
        </w:rPr>
      </w:pPr>
      <w:r>
        <w:rPr>
          <w:lang w:eastAsia="en-US"/>
        </w:rPr>
        <w:t>In  addition to the above stated rates, Shipper shall also pay any applicable fuel pursuant to Transwestern’s FERC Gas Tariff, as well as any surcharges authorized under Transwestern’s FERC Gas Tariff after the effective date of this agreement.  The transportation rates, set forth above, shall in no event be greater than the maximum or lower than the minimum rates provided in Transwestern’s FERC Gas  Tariff, as amended from time to time.</w:t>
      </w:r>
    </w:p>
    <w:p>
      <w:pPr>
        <w:pStyle w:val="Normal"/>
        <w:widowControl w:val="false"/>
        <w:rPr>
          <w:lang w:eastAsia="en-US"/>
        </w:rPr>
      </w:pPr>
      <w:r>
        <w:rPr>
          <w:lang w:eastAsia="en-US"/>
        </w:rPr>
      </w:r>
    </w:p>
    <w:p>
      <w:pPr>
        <w:pStyle w:val="Normal"/>
        <w:widowControl w:val="false"/>
        <w:numPr>
          <w:ilvl w:val="0"/>
          <w:numId w:val="3"/>
        </w:numPr>
        <w:tabs>
          <w:tab w:val="clear" w:pos="720"/>
          <w:tab w:val="left" w:pos="0" w:leader="none"/>
        </w:tabs>
        <w:ind w:hanging="0" w:start="0" w:end="0"/>
        <w:rPr>
          <w:lang w:eastAsia="en-US"/>
        </w:rPr>
      </w:pPr>
      <w:r>
        <w:rPr>
          <w:lang w:eastAsia="en-US"/>
        </w:rPr>
        <w:t>Subject to available capacity, Shipper shall have the right to deliver gas to Alternate Delivery Points located in Transwestern’s East of Thoreau (EOT) Area.  If Southern California Gas Company (SoCalGas) curtails deliveries of natural gas into its pipeline system at the Needles, California delivery point (POI # 0010487), then upon written notification of such impending curtailment accompanying Shipper’s request to transport gas to one or more Alternate Delivery Points East of Thoreau, such transportation shall be at the Discount Rate provided above in Paragraph 2.  If Shipper’s request for transportation to delivery points in Transwestern’s EOT Area is for purposes other than impending curtailment of deliveries by SoCalGas at the Needles delivery point, or if Shipper fails to notify Transwestern of such impending curtailment at the time the nominations for deliveries to Altnerate Delivery Points in the EOT Area is made by Shipper, then the rate applicable to such deliveries shall be at the Discounted Rated plus $.01 per MMBtu.</w:t>
      </w:r>
    </w:p>
    <w:p>
      <w:pPr>
        <w:pStyle w:val="Normal"/>
        <w:widowControl w:val="false"/>
        <w:rPr>
          <w:lang w:eastAsia="en-US"/>
        </w:rPr>
      </w:pPr>
      <w:r>
        <w:rPr>
          <w:lang w:eastAsia="en-US"/>
        </w:rPr>
        <w:t xml:space="preserve"> </w:t>
      </w:r>
    </w:p>
    <w:p>
      <w:pPr>
        <w:pStyle w:val="Normal"/>
        <w:widowControl w:val="false"/>
        <w:numPr>
          <w:ilvl w:val="0"/>
          <w:numId w:val="3"/>
        </w:numPr>
        <w:ind w:hanging="0" w:start="0" w:end="0"/>
        <w:rPr>
          <w:lang w:eastAsia="en-US"/>
        </w:rPr>
      </w:pPr>
      <w:r>
        <w:rPr>
          <w:lang w:eastAsia="en-US"/>
        </w:rPr>
        <w:t>From time to time during the term of this Agreement, to the extent delivery point capacity is available and is posted on Transwestern’s Electronic Bulletin Board and/or Internet notification service from time to time, and subject to the terms and conditions of Transwestern’s FERC Gas Tariff, as amended from time to time, then Shipper, in its sole discretion, shall have the right, upon written notice given not less than five (5) business days prior to the beginning of the month such action is requested, to convert all or any part of its MAXDTQ from the Primary Point(s) of Delivery as listed on Appendix A to Contract # 27270 to the following Primary Delivery Points(s):</w:t>
      </w:r>
    </w:p>
    <w:p>
      <w:pPr>
        <w:pStyle w:val="Normal"/>
        <w:widowControl w:val="false"/>
        <w:rPr>
          <w:lang w:eastAsia="en-US"/>
        </w:rPr>
      </w:pPr>
      <w:r>
        <w:rPr>
          <w:lang w:eastAsia="en-US"/>
        </w:rPr>
      </w:r>
    </w:p>
    <w:p>
      <w:pPr>
        <w:pStyle w:val="Normal"/>
        <w:widowControl w:val="false"/>
        <w:numPr>
          <w:ilvl w:val="0"/>
          <w:numId w:val="2"/>
        </w:numPr>
        <w:rPr>
          <w:lang w:eastAsia="en-US"/>
        </w:rPr>
      </w:pPr>
      <w:r>
        <w:rPr>
          <w:lang w:eastAsia="en-US"/>
        </w:rPr>
        <w:t>Pacific Gas &amp; Electric Company (PG&amp;E) at Topock (POI # 0056698), or</w:t>
      </w:r>
    </w:p>
    <w:p>
      <w:pPr>
        <w:pStyle w:val="Normal"/>
        <w:widowControl w:val="false"/>
        <w:numPr>
          <w:ilvl w:val="0"/>
          <w:numId w:val="2"/>
        </w:numPr>
        <w:rPr>
          <w:lang w:eastAsia="en-US"/>
        </w:rPr>
      </w:pPr>
      <w:r>
        <w:rPr>
          <w:lang w:eastAsia="en-US"/>
        </w:rPr>
        <w:t xml:space="preserve">Mojave Pipeline Company (Mojave) at Topock (POI # 0056696), or </w:t>
        <w:tab/>
      </w:r>
    </w:p>
    <w:p>
      <w:pPr>
        <w:pStyle w:val="Normal"/>
        <w:widowControl w:val="false"/>
        <w:numPr>
          <w:ilvl w:val="0"/>
          <w:numId w:val="2"/>
        </w:numPr>
        <w:rPr>
          <w:lang w:eastAsia="en-US"/>
        </w:rPr>
      </w:pPr>
      <w:r>
        <w:rPr>
          <w:lang w:eastAsia="en-US"/>
        </w:rPr>
        <w:t>Delivery point proposed with Southwest Gas Corporation (SWG) to be constructed in Mohave County, Arizona.</w:t>
      </w:r>
    </w:p>
    <w:p>
      <w:pPr>
        <w:pStyle w:val="Normal"/>
        <w:widowControl w:val="false"/>
        <w:ind w:start="390" w:end="0"/>
        <w:rPr>
          <w:lang w:eastAsia="en-US"/>
        </w:rPr>
      </w:pPr>
      <w:r>
        <w:rPr>
          <w:lang w:eastAsia="en-US"/>
        </w:rPr>
      </w:r>
    </w:p>
    <w:p>
      <w:pPr>
        <w:pStyle w:val="Normal"/>
        <w:widowControl w:val="false"/>
        <w:rPr>
          <w:lang w:eastAsia="en-US"/>
        </w:rPr>
      </w:pPr>
      <w:r>
        <w:rPr>
          <w:lang w:eastAsia="en-US"/>
        </w:rPr>
        <w:t>Following Shipper’s election to convert its MAXDTQ to one or more primary delivery points as outlined above to the extent delivery point capacity is available at SoCal Needles and is posted on Transwestern’s Electronic Bulletin Board and/or Internet notification service, and subject to the terms and conditions of Transwestern’s FERC Gas Tariff, as amended from time to time, then Shipper, in its sole discretion, shall have the right to convert all or any part of its MAXDTQ to the SoCal Needles delivery point.</w:t>
      </w:r>
      <w:r>
        <w:br w:type="page"/>
      </w:r>
    </w:p>
    <w:p>
      <w:pPr>
        <w:pStyle w:val="Normal"/>
        <w:widowControl w:val="false"/>
        <w:rPr>
          <w:lang w:eastAsia="en-US"/>
        </w:rPr>
      </w:pPr>
      <w:r>
        <w:rPr>
          <w:lang w:eastAsia="en-US"/>
        </w:rPr>
      </w:r>
    </w:p>
    <w:p>
      <w:pPr>
        <w:pStyle w:val="Normal"/>
        <w:widowControl w:val="false"/>
        <w:rPr>
          <w:lang w:eastAsia="en-US"/>
        </w:rPr>
      </w:pPr>
      <w:r>
        <w:rPr>
          <w:lang w:eastAsia="en-US"/>
        </w:rPr>
      </w:r>
    </w:p>
    <w:p>
      <w:pPr>
        <w:pStyle w:val="Normal"/>
        <w:widowControl w:val="false"/>
        <w:rPr>
          <w:lang w:eastAsia="en-US"/>
        </w:rPr>
      </w:pPr>
      <w:r>
        <w:rPr>
          <w:lang w:eastAsia="en-US"/>
        </w:rPr>
        <w:t>5.   Each party agrees that it will maintain this amendment, all of its contents and subsequent discount documentation and communications in strict confidence and that it will not cause or permit disclosure thereof to any third party without the express written consent of the other party except to the extent necessary to comply with valid laws, regulations or orders of any court or agency having jurisdiction. However, in the event a party becomes aware of a judicial or administrative proceeding or request that has resulted or that may result in such disclosure, it shall so notify the other party immediately and will also take all actions necessary to maintain confidentiality of all discount communications and documents.</w:t>
      </w:r>
    </w:p>
    <w:p>
      <w:pPr>
        <w:pStyle w:val="Normal"/>
        <w:widowControl w:val="false"/>
        <w:rPr>
          <w:lang w:eastAsia="en-US"/>
        </w:rPr>
      </w:pPr>
      <w:r>
        <w:rPr>
          <w:lang w:eastAsia="en-US"/>
        </w:rPr>
      </w:r>
    </w:p>
    <w:p>
      <w:pPr>
        <w:pStyle w:val="Normal"/>
        <w:widowControl w:val="false"/>
        <w:rPr>
          <w:lang w:eastAsia="en-US"/>
        </w:rPr>
      </w:pPr>
      <w:r>
        <w:rPr>
          <w:lang w:eastAsia="en-US"/>
        </w:rPr>
        <w:t>The parties agree that a facsimile of this agreement, when properly executed and transmitted, shall be considered for all purposes to be an original contract, and shall be deemed for all purposes to be signed and constitute a binding agreement.</w:t>
      </w:r>
    </w:p>
    <w:p>
      <w:pPr>
        <w:pStyle w:val="Normal"/>
        <w:widowControl w:val="false"/>
        <w:rPr>
          <w:lang w:eastAsia="en-US"/>
        </w:rPr>
      </w:pPr>
      <w:r>
        <w:rPr>
          <w:lang w:eastAsia="en-US"/>
        </w:rPr>
      </w:r>
    </w:p>
    <w:p>
      <w:pPr>
        <w:pStyle w:val="Normal"/>
        <w:widowControl w:val="false"/>
        <w:rPr>
          <w:lang w:eastAsia="en-US"/>
        </w:rPr>
      </w:pPr>
      <w:r>
        <w:rPr>
          <w:lang w:eastAsia="en-US"/>
        </w:rPr>
        <w:t>This Amendment shall be effective July 1, 2000.  No other terms and conditions of the Agreement are affected hereby.  Except as amended herein, the Agreement shall remain in full force and effect.</w:t>
      </w:r>
    </w:p>
    <w:p>
      <w:pPr>
        <w:pStyle w:val="Normal"/>
        <w:widowControl w:val="false"/>
        <w:rPr>
          <w:lang w:eastAsia="en-US"/>
        </w:rPr>
      </w:pPr>
      <w:r>
        <w:rPr>
          <w:lang w:eastAsia="en-US"/>
        </w:rPr>
      </w:r>
    </w:p>
    <w:p>
      <w:pPr>
        <w:pStyle w:val="Normal"/>
        <w:widowControl w:val="false"/>
        <w:rPr>
          <w:lang w:eastAsia="en-US"/>
        </w:rPr>
      </w:pPr>
      <w:r>
        <w:rPr>
          <w:lang w:eastAsia="en-US"/>
        </w:rPr>
        <w:t>This Amendment shall be binding and inure to the benefits of the Parties hereto and their respective successors and assigns.</w:t>
      </w:r>
    </w:p>
    <w:p>
      <w:pPr>
        <w:pStyle w:val="Normal"/>
        <w:widowControl w:val="false"/>
        <w:rPr>
          <w:lang w:eastAsia="en-US"/>
        </w:rPr>
      </w:pPr>
      <w:r>
        <w:rPr>
          <w:lang w:eastAsia="en-US"/>
        </w:rPr>
      </w:r>
    </w:p>
    <w:p>
      <w:pPr>
        <w:pStyle w:val="Normal"/>
        <w:widowControl w:val="false"/>
        <w:rPr>
          <w:lang w:eastAsia="en-US"/>
        </w:rPr>
      </w:pPr>
      <w:r>
        <w:rPr>
          <w:lang w:eastAsia="en-US"/>
        </w:rPr>
        <w:t>ACCEPTED AND AGREED TO                                   ACCEPTED AND AGREED TO</w:t>
      </w:r>
    </w:p>
    <w:p>
      <w:pPr>
        <w:pStyle w:val="Normal"/>
        <w:widowControl w:val="false"/>
        <w:rPr>
          <w:lang w:eastAsia="en-US"/>
        </w:rPr>
      </w:pPr>
      <w:r>
        <w:rPr>
          <w:lang w:eastAsia="en-US"/>
        </w:rPr>
      </w:r>
    </w:p>
    <w:p>
      <w:pPr>
        <w:pStyle w:val="Normal"/>
        <w:widowControl w:val="false"/>
        <w:rPr>
          <w:lang w:eastAsia="en-US"/>
        </w:rPr>
      </w:pPr>
      <w:r>
        <w:rPr>
          <w:lang w:eastAsia="en-US"/>
        </w:rPr>
        <w:t>This _________ day of _________________, 2000       This _________ day of _________________, 2000.</w:t>
      </w:r>
    </w:p>
    <w:p>
      <w:pPr>
        <w:pStyle w:val="Normal"/>
        <w:widowControl w:val="false"/>
        <w:rPr>
          <w:lang w:eastAsia="en-US"/>
        </w:rPr>
      </w:pPr>
      <w:r>
        <w:rPr>
          <w:lang w:eastAsia="en-US"/>
        </w:rPr>
      </w:r>
    </w:p>
    <w:p>
      <w:pPr>
        <w:pStyle w:val="Normal"/>
        <w:widowControl w:val="false"/>
        <w:rPr>
          <w:lang w:eastAsia="en-US"/>
        </w:rPr>
      </w:pPr>
      <w:r>
        <w:rPr>
          <w:lang w:eastAsia="en-US"/>
        </w:rPr>
        <w:t>TRANSWESTERN PIPELINE COMPANY.</w:t>
        <w:tab/>
        <w:t xml:space="preserve">    SEMPRA TRADING CORP.</w:t>
      </w:r>
    </w:p>
    <w:p>
      <w:pPr>
        <w:pStyle w:val="Normal"/>
        <w:widowControl w:val="false"/>
        <w:rPr>
          <w:lang w:eastAsia="en-US"/>
        </w:rPr>
      </w:pPr>
      <w:r>
        <w:rPr>
          <w:lang w:eastAsia="en-US"/>
        </w:rPr>
      </w:r>
    </w:p>
    <w:p>
      <w:pPr>
        <w:pStyle w:val="Normal"/>
        <w:widowControl w:val="false"/>
        <w:rPr>
          <w:lang w:eastAsia="en-US"/>
        </w:rPr>
      </w:pPr>
      <w:r>
        <w:rPr>
          <w:lang w:eastAsia="en-US"/>
        </w:rPr>
        <w:t xml:space="preserve">By: ______________________________________       By: ______________________________________                                                                                                                                                                                                                                    </w:t>
      </w:r>
    </w:p>
    <w:p>
      <w:pPr>
        <w:pStyle w:val="Normal"/>
        <w:widowControl w:val="false"/>
        <w:rPr>
          <w:lang w:eastAsia="en-US"/>
        </w:rPr>
      </w:pPr>
      <w:r>
        <w:rPr>
          <w:lang w:eastAsia="en-US"/>
        </w:rPr>
      </w:r>
    </w:p>
    <w:p>
      <w:pPr>
        <w:pStyle w:val="Normal"/>
        <w:widowControl w:val="false"/>
        <w:rPr>
          <w:lang w:eastAsia="en-US"/>
        </w:rPr>
      </w:pPr>
      <w:r>
        <w:rPr>
          <w:lang w:eastAsia="en-US"/>
        </w:rPr>
      </w:r>
    </w:p>
    <w:p>
      <w:pPr>
        <w:pStyle w:val="Normal"/>
        <w:widowControl w:val="false"/>
        <w:rPr>
          <w:lang w:eastAsia="en-US"/>
        </w:rPr>
      </w:pPr>
      <w:r>
        <w:rPr>
          <w:lang w:eastAsia="en-US"/>
        </w:rPr>
        <w:t xml:space="preserve">Title: ____________________________________        Title: ____________________________________   </w:t>
      </w:r>
    </w:p>
    <w:sectPr>
      <w:type w:val="nextPage"/>
      <w:pgSz w:w="12240" w:h="15840"/>
      <w:pgMar w:left="1152" w:right="1152" w:gutter="0" w:header="0" w:top="720" w:footer="0" w:bottom="432"/>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start"/>
      <w:pPr>
        <w:tabs>
          <w:tab w:val="num" w:pos="390"/>
        </w:tabs>
        <w:ind w:start="390" w:hanging="390"/>
      </w:pPr>
      <w:rPr/>
    </w:lvl>
  </w:abstractNum>
  <w:abstractNum w:abstractNumId="2">
    <w:lvl w:ilvl="0">
      <w:start w:val="1"/>
      <w:numFmt w:val="lowerLetter"/>
      <w:lvlText w:val="%1."/>
      <w:lvlJc w:val="start"/>
      <w:pPr>
        <w:tabs>
          <w:tab w:val="num" w:pos="750"/>
        </w:tabs>
        <w:ind w:start="750" w:hanging="360"/>
      </w:pPr>
      <w:rPr/>
    </w:lvl>
  </w:abstractNum>
  <w:abstractNum w:abstractNumId="3">
    <w:lvl w:ilvl="0">
      <w:start w:val="3"/>
      <w:numFmt w:val="decimal"/>
      <w:lvlText w:val="%1."/>
      <w:lvlJc w:val="start"/>
      <w:pPr>
        <w:tabs>
          <w:tab w:val="num" w:pos="360"/>
        </w:tabs>
        <w:ind w:start="360" w:hanging="360"/>
      </w:pPr>
      <w:rPr/>
    </w:lvl>
  </w:abstractNum>
  <w:abstractNum w:abstractNumId="4">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 w:numId="2">
    <w:abstractNumId w:val="2"/>
  </w:num>
  <w:num w:numId="3">
    <w:abstractNumId w:val="3"/>
  </w:num>
  <w:num w:numId="4">
    <w:abstractNumId w:val="4"/>
  </w:num>
</w:numbering>
</file>

<file path=word/settings.xml><?xml version="1.0" encoding="utf-8"?>
<w:settings xmlns:w="http://schemas.openxmlformats.org/wordprocessingml/2006/main">
  <w:zoom w:percent="10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character" w:styleId="WW8Num1z0">
    <w:name w:val="WW8Num1z0"/>
    <w:qFormat/>
    <w:rPr/>
  </w:style>
  <w:style w:type="character" w:styleId="WW8Num2z0">
    <w:name w:val="WW8Num2z0"/>
    <w:qFormat/>
    <w:rPr/>
  </w:style>
  <w:style w:type="character" w:styleId="WW8Num3z0">
    <w:name w:val="WW8Num3z0"/>
    <w:qFormat/>
    <w:rPr/>
  </w:style>
  <w:style w:type="character" w:styleId="WW8Num4z0">
    <w:name w:val="WW8Num4z0"/>
    <w:qFormat/>
    <w:rPr/>
  </w:style>
  <w:style w:type="character" w:styleId="WW8Num5z0">
    <w:name w:val="WW8Num5z0"/>
    <w:qFormat/>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28</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2000-06-26T17:19:00Z</dcterms:created>
  <dc:creator>Christine A Stokes</dc:creator>
  <dc:description/>
  <dc:language>en-CA</dc:language>
  <cp:lastModifiedBy>Enron</cp:lastModifiedBy>
  <cp:lastPrinted>2000-06-26T15:07:00Z</cp:lastPrinted>
  <dcterms:modified xsi:type="dcterms:W3CDTF">2000-06-28T11:16:00Z</dcterms:modified>
  <cp:revision>15</cp:revision>
  <dc:subject/>
  <dc:title>Enron Capital &amp; Trade Resources</dc:title>
</cp:coreProperties>
</file>