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Phillips Petroleum Company.</w:t>
        <w:tab/>
        <w:tab/>
        <w:tab/>
        <w:tab/>
        <w:tab/>
        <w:tab/>
        <w:t>January 17, 1999</w:t>
      </w:r>
    </w:p>
    <w:p>
      <w:pPr>
        <w:pStyle w:val="Normal"/>
        <w:widowControl w:val="false"/>
        <w:rPr>
          <w:lang w:eastAsia="en-US"/>
        </w:rPr>
      </w:pPr>
      <w:r>
        <w:rPr>
          <w:lang w:eastAsia="en-US"/>
        </w:rPr>
        <w:t>Attn:   Ken Baker</w:t>
      </w:r>
    </w:p>
    <w:p>
      <w:pPr>
        <w:pStyle w:val="Normal"/>
        <w:widowControl w:val="false"/>
        <w:rPr>
          <w:lang w:eastAsia="en-US"/>
        </w:rPr>
      </w:pPr>
      <w:r>
        <w:rPr>
          <w:lang w:eastAsia="en-US"/>
        </w:rPr>
        <w:t>Re: FTS-1 Agreement No. 24927</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Phillips Petroleum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24927.</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February 1, 2001  through January 31, 2006.</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tab/>
      </w:r>
    </w:p>
    <w:p>
      <w:pPr>
        <w:pStyle w:val="Normal"/>
        <w:widowControl w:val="false"/>
        <w:rPr>
          <w:lang w:eastAsia="en-US"/>
        </w:rPr>
      </w:pPr>
      <w:r>
        <w:rPr>
          <w:lang w:eastAsia="en-US"/>
        </w:rPr>
      </w:r>
    </w:p>
    <w:p>
      <w:pPr>
        <w:pStyle w:val="Normal"/>
        <w:widowControl w:val="false"/>
        <w:ind w:start="900" w:end="0"/>
        <w:rPr/>
      </w:pPr>
      <w:r>
        <w:rPr>
          <w:b/>
          <w:lang w:eastAsia="en-US"/>
        </w:rPr>
        <w:t>$  .040/MMBtu/day</w:t>
      </w:r>
      <w:r>
        <w:rPr>
          <w:lang w:eastAsia="en-US"/>
        </w:rPr>
        <w:t xml:space="preserve"> - Total Charge* for the months of April, May, June, July August, September and October of the calender years  2001, 2002 and 2003.  Total Charge in such months shall increase each year thereafter by $.0050/Mmbtu/day.</w:t>
      </w:r>
    </w:p>
    <w:p>
      <w:pPr>
        <w:pStyle w:val="Normal"/>
        <w:widowControl w:val="false"/>
        <w:ind w:start="900" w:end="0"/>
        <w:rPr>
          <w:lang w:eastAsia="en-US"/>
        </w:rPr>
      </w:pPr>
      <w:r>
        <w:rPr>
          <w:lang w:eastAsia="en-US"/>
        </w:rPr>
      </w:r>
    </w:p>
    <w:p>
      <w:pPr>
        <w:pStyle w:val="Normal"/>
        <w:widowControl w:val="false"/>
        <w:ind w:start="900" w:end="0"/>
        <w:rPr/>
      </w:pPr>
      <w:r>
        <w:rPr>
          <w:b/>
          <w:lang w:eastAsia="en-US"/>
        </w:rPr>
        <w:t>$.035/MMBtu/day</w:t>
      </w:r>
      <w:r>
        <w:rPr>
          <w:lang w:eastAsia="en-US"/>
        </w:rPr>
        <w:t xml:space="preserve"> – Total Charge* for the months of January, February, March, November and December of calander years 2001, 2002, and 2003,  Total Charge in such months shall increase each year thereafter by $.0050/Mmbtu/day.</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the applicable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Shipper may utilize alternate receipt points within the primary south-flow path of Ignacio to El Paso/Blanco and may utilize the alternate delivery point of I/B link.  Shipper may utilize a north-flow path on an alternate basis at an incremental charge of $.0100/MMBtu/day based on actual volumes.   If any alternate receipt or delivery points are utilized other than those described herein,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February 1, 2001.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PHILLIPS PETROLEUM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2000-01-13T13:46:00Z</dcterms:created>
  <dc:creator>Christine A Stokes</dc:creator>
  <dc:description/>
  <dc:language>en-CA</dc:language>
  <cp:lastModifiedBy>Christine A Stokes</cp:lastModifiedBy>
  <cp:lastPrinted>1999-12-01T16:46:00Z</cp:lastPrinted>
  <dcterms:modified xsi:type="dcterms:W3CDTF">2000-01-17T12:12:00Z</dcterms:modified>
  <cp:revision>6</cp:revision>
  <dc:subject/>
  <dc:title>Enron Capital &amp; Trade Resources</dc:title>
</cp:coreProperties>
</file>