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0" w:type="dxa"/>
        <w:tblLayout w:type="fixed"/>
        <w:tblCellMar>
          <w:top w:w="0" w:type="dxa"/>
          <w:start w:w="0" w:type="dxa"/>
          <w:bottom w:w="0" w:type="dxa"/>
          <w:end w:w="0" w:type="dxa"/>
        </w:tblCellMar>
      </w:tblPr>
      <w:tblGrid>
        <w:gridCol w:w="2880"/>
        <w:gridCol w:w="3514"/>
        <w:gridCol w:w="2966"/>
      </w:tblGrid>
      <w:tr>
        <w:trPr/>
        <w:tc>
          <w:tcPr>
            <w:tcW w:w="2880" w:type="dxa"/>
            <w:tcBorders/>
          </w:tcPr>
          <w:p>
            <w:pPr>
              <w:pStyle w:val="Small"/>
              <w:rPr>
                <w:sz w:val="16"/>
              </w:rPr>
            </w:pPr>
            <w:r>
              <w:rPr>
                <w:b/>
                <w:sz w:val="20"/>
              </w:rPr>
              <w:t>George C. Robinson, P.E.</w:t>
            </w:r>
          </w:p>
        </w:tc>
        <w:tc>
          <w:tcPr>
            <w:tcW w:w="3514" w:type="dxa"/>
            <w:tcBorders/>
          </w:tcPr>
          <w:p>
            <w:pPr>
              <w:pStyle w:val="Small"/>
              <w:tabs>
                <w:tab w:val="clear" w:pos="720"/>
                <w:tab w:val="left" w:pos="360" w:leader="none"/>
              </w:tabs>
              <w:rPr>
                <w:sz w:val="16"/>
              </w:rPr>
            </w:pPr>
            <w:r>
              <w:rPr>
                <w:sz w:val="16"/>
              </w:rPr>
              <w:t>c/o:</w:t>
              <w:tab/>
              <w:t>ENRON Operations Corp.</w:t>
            </w:r>
          </w:p>
          <w:p>
            <w:pPr>
              <w:pStyle w:val="Small"/>
              <w:tabs>
                <w:tab w:val="clear" w:pos="720"/>
                <w:tab w:val="left" w:pos="360" w:leader="none"/>
              </w:tabs>
              <w:rPr>
                <w:sz w:val="16"/>
              </w:rPr>
            </w:pPr>
            <w:r>
              <w:rPr>
                <w:sz w:val="16"/>
              </w:rPr>
              <w:tab/>
              <w:t>Environmental Affairs Dept.</w:t>
            </w:r>
          </w:p>
        </w:tc>
        <w:tc>
          <w:tcPr>
            <w:tcW w:w="2966" w:type="dxa"/>
            <w:tcBorders/>
          </w:tcPr>
          <w:p>
            <w:pPr>
              <w:pStyle w:val="Small"/>
              <w:ind w:end="20"/>
              <w:jc w:val="start"/>
              <w:rPr>
                <w:sz w:val="16"/>
              </w:rPr>
            </w:pPr>
            <w:r>
              <w:rPr>
                <w:sz w:val="16"/>
              </w:rPr>
              <w:t>(713) 646-7327 ENRON office</w:t>
            </w:r>
          </w:p>
          <w:p>
            <w:pPr>
              <w:pStyle w:val="Small"/>
              <w:ind w:end="20"/>
              <w:jc w:val="start"/>
              <w:rPr>
                <w:sz w:val="16"/>
              </w:rPr>
            </w:pPr>
            <w:r>
              <w:rPr>
                <w:sz w:val="16"/>
              </w:rPr>
              <w:t>(713) 646-7867 ENRON fax</w:t>
            </w:r>
          </w:p>
        </w:tc>
      </w:tr>
    </w:tbl>
    <w:p>
      <w:pPr>
        <w:pStyle w:val="Normal"/>
        <w:spacing w:before="120" w:after="0"/>
        <w:rPr/>
      </w:pPr>
      <w:r>
        <w:rPr/>
        <w:t>Memorandum</w:t>
      </w:r>
    </w:p>
    <w:tbl>
      <w:tblPr>
        <w:tblW w:w="9360" w:type="dxa"/>
        <w:jc w:val="start"/>
        <w:tblInd w:w="0" w:type="dxa"/>
        <w:tblLayout w:type="fixed"/>
        <w:tblCellMar>
          <w:top w:w="0" w:type="dxa"/>
          <w:start w:w="0" w:type="dxa"/>
          <w:bottom w:w="0" w:type="dxa"/>
          <w:end w:w="0" w:type="dxa"/>
        </w:tblCellMar>
      </w:tblPr>
      <w:tblGrid>
        <w:gridCol w:w="720"/>
        <w:gridCol w:w="5400"/>
        <w:gridCol w:w="720"/>
        <w:gridCol w:w="2520"/>
      </w:tblGrid>
      <w:tr>
        <w:trPr/>
        <w:tc>
          <w:tcPr>
            <w:tcW w:w="720" w:type="dxa"/>
            <w:tcBorders/>
          </w:tcPr>
          <w:p>
            <w:pPr>
              <w:pStyle w:val="Normal"/>
              <w:spacing w:before="240" w:after="0"/>
              <w:jc w:val="start"/>
              <w:rPr>
                <w:sz w:val="20"/>
              </w:rPr>
            </w:pPr>
            <w:r>
              <w:rPr>
                <w:sz w:val="20"/>
              </w:rPr>
              <w:t>To:</w:t>
            </w:r>
          </w:p>
        </w:tc>
        <w:tc>
          <w:tcPr>
            <w:tcW w:w="5400" w:type="dxa"/>
            <w:tcBorders/>
          </w:tcPr>
          <w:p>
            <w:pPr>
              <w:pStyle w:val="Normal"/>
              <w:spacing w:before="240" w:after="0"/>
              <w:jc w:val="start"/>
              <w:rPr>
                <w:b/>
                <w:sz w:val="20"/>
              </w:rPr>
            </w:pPr>
            <w:r>
              <w:rPr>
                <w:b/>
                <w:sz w:val="20"/>
              </w:rPr>
              <w:t>Larry Campbell</w:t>
            </w:r>
          </w:p>
        </w:tc>
        <w:tc>
          <w:tcPr>
            <w:tcW w:w="720" w:type="dxa"/>
            <w:tcBorders/>
          </w:tcPr>
          <w:p>
            <w:pPr>
              <w:pStyle w:val="Normal"/>
              <w:spacing w:before="240" w:after="0"/>
              <w:jc w:val="start"/>
              <w:rPr>
                <w:sz w:val="20"/>
              </w:rPr>
            </w:pPr>
            <w:r>
              <w:rPr>
                <w:sz w:val="20"/>
              </w:rPr>
              <w:t>Date:</w:t>
            </w:r>
          </w:p>
        </w:tc>
        <w:tc>
          <w:tcPr>
            <w:tcW w:w="2520" w:type="dxa"/>
            <w:tcBorders/>
          </w:tcPr>
          <w:p>
            <w:pPr>
              <w:pStyle w:val="Normal"/>
              <w:spacing w:before="240" w:after="0"/>
              <w:jc w:val="start"/>
              <w:rPr>
                <w:b/>
                <w:sz w:val="20"/>
              </w:rPr>
            </w:pPr>
            <w:r>
              <w:rPr>
                <w:b/>
                <w:sz w:val="20"/>
              </w:rPr>
              <w:t>August 14, 2001</w:t>
            </w:r>
          </w:p>
        </w:tc>
      </w:tr>
    </w:tbl>
    <w:p>
      <w:pPr>
        <w:pStyle w:val="Normal"/>
        <w:spacing w:before="240" w:after="0"/>
        <w:rPr>
          <w:sz w:val="20"/>
        </w:rPr>
      </w:pPr>
      <w:r>
        <w:rPr>
          <w:sz w:val="20"/>
        </w:rPr>
        <w:t>From:</w:t>
        <w:tab/>
      </w:r>
      <w:r>
        <w:rPr>
          <w:b/>
          <w:sz w:val="20"/>
        </w:rPr>
        <w:t>George Robinson</w:t>
      </w:r>
    </w:p>
    <w:p>
      <w:pPr>
        <w:pStyle w:val="Normal"/>
        <w:pBdr>
          <w:bottom w:val="single" w:sz="6" w:space="12" w:color="000000"/>
        </w:pBdr>
        <w:spacing w:before="240" w:after="0"/>
        <w:ind w:hanging="720" w:start="720" w:end="0"/>
        <w:rPr>
          <w:sz w:val="20"/>
        </w:rPr>
      </w:pPr>
      <w:r>
        <w:rPr>
          <w:sz w:val="20"/>
        </w:rPr>
        <w:t>Subject:</w:t>
        <w:tab/>
      </w:r>
      <w:r>
        <w:rPr>
          <w:b/>
          <w:sz w:val="20"/>
        </w:rPr>
        <w:t>Weekly Report for Cypress Engineering Services, Inc. (CES): July 17, 2001 – August 14, 2001</w:t>
      </w:r>
    </w:p>
    <w:p>
      <w:pPr>
        <w:pStyle w:val="Heading2"/>
        <w:ind w:hanging="0" w:start="0"/>
        <w:rPr/>
      </w:pPr>
      <w:r>
        <w:rPr/>
        <w:t>NNG Gomez Plant, Ground Water Remediation</w:t>
      </w:r>
    </w:p>
    <w:p>
      <w:pPr>
        <w:pStyle w:val="Normal"/>
        <w:rPr/>
      </w:pPr>
      <w:r>
        <w:rPr/>
        <w:t>The recovery system is in operation. The next semiannual groundwater-sampling event was scheduled for August but has been postponed until September. The sampling event was postponed while we reevaluate the sampling analysis plan for the site. An annual report of groundwater remediation activities needs to be prepared. Additional recovery wells near the west side of the remediation area need to be installed. I have contacted Jeff Forbes at DBS&amp;A about getting some assistance evaluating the geochemistry of the perched aquifer. I believe this evaluation is critical for eventually obtaining closure for remediation activities. Funds for this activity are included in the current estimate for this project.</w:t>
      </w:r>
    </w:p>
    <w:p>
      <w:pPr>
        <w:pStyle w:val="Heading2"/>
        <w:ind w:hanging="0" w:start="0"/>
        <w:rPr/>
      </w:pPr>
      <w:r>
        <w:rPr/>
        <w:t>NNG Eunice, Ground Water Monitoring</w:t>
      </w:r>
    </w:p>
    <w:p>
      <w:pPr>
        <w:pStyle w:val="Normal"/>
        <w:rPr/>
      </w:pPr>
      <w:r>
        <w:rPr/>
        <w:t>Clayton Barnhill completed a biennial groundwater-sampling event on August 7</w:t>
      </w:r>
      <w:r>
        <w:rPr>
          <w:vertAlign w:val="superscript"/>
        </w:rPr>
        <w:t>th</w:t>
      </w:r>
      <w:r>
        <w:rPr/>
        <w:t>. Lab results should be available within the next week. A brief report will be prepared for submittal to the OCD.</w:t>
      </w:r>
    </w:p>
    <w:p>
      <w:pPr>
        <w:pStyle w:val="Heading2"/>
        <w:ind w:hanging="0" w:start="0"/>
        <w:rPr/>
      </w:pPr>
      <w:r>
        <w:rPr/>
        <w:t>NNG Lockridge, Ground Water Remediation</w:t>
      </w:r>
    </w:p>
    <w:p>
      <w:pPr>
        <w:pStyle w:val="Normal"/>
        <w:rPr/>
      </w:pPr>
      <w:r>
        <w:rPr/>
        <w:t xml:space="preserve">The SVE and liquid recovery systems are in operation. We are working on a supplemental work order to fund the proposed system modifications. We are also proceeding with preparation of a modified Permit-By-Rule for remediation activities. This will allow us to eliminate the emission control equipment. We also need to prepare a RRC permit application to irrigate recovered groundwater. </w:t>
      </w:r>
    </w:p>
    <w:p>
      <w:pPr>
        <w:pStyle w:val="Heading2"/>
        <w:ind w:hanging="0" w:start="0"/>
        <w:rPr/>
      </w:pPr>
      <w:r>
        <w:rPr/>
        <w:t>TW Atoka-1, Ground Water Remediation</w:t>
      </w:r>
    </w:p>
    <w:p>
      <w:pPr>
        <w:pStyle w:val="Normal"/>
        <w:rPr/>
      </w:pPr>
      <w:r>
        <w:rPr/>
        <w:t>The SVE and liquid recovery systems are in operation. Clayton Barnhill continues to provide the O&amp;M for this site. Clayton Barnhill is scheduled to complete the next semiannual groundwater-sampling event on August 20</w:t>
      </w:r>
      <w:r>
        <w:rPr>
          <w:vertAlign w:val="superscript"/>
        </w:rPr>
        <w:t>th</w:t>
      </w:r>
      <w:r>
        <w:rPr/>
        <w:t xml:space="preserve">. </w:t>
      </w:r>
    </w:p>
    <w:p>
      <w:pPr>
        <w:pStyle w:val="Heading2"/>
        <w:ind w:hanging="0" w:start="0"/>
        <w:rPr/>
      </w:pPr>
      <w:r>
        <w:rPr/>
        <w:t>TW Bell Lake Gas Plant, Ground Water Remediation</w:t>
      </w:r>
    </w:p>
    <w:p>
      <w:pPr>
        <w:pStyle w:val="Normal"/>
        <w:rPr/>
      </w:pPr>
      <w:r>
        <w:rPr/>
        <w:t>The SVE and liquid recovery systems are in operation. Clayton Barnhill completed a semiannual groundwater-sampling event on August 10</w:t>
      </w:r>
      <w:r>
        <w:rPr>
          <w:vertAlign w:val="superscript"/>
        </w:rPr>
        <w:t>th</w:t>
      </w:r>
      <w:r>
        <w:rPr/>
        <w:t>.</w:t>
      </w:r>
    </w:p>
    <w:p>
      <w:pPr>
        <w:pStyle w:val="Heading2"/>
        <w:ind w:hanging="0" w:start="0"/>
        <w:rPr/>
      </w:pPr>
      <w:r>
        <w:rPr/>
        <w:t>TW North Crawar Station, Ground Water Remediation</w:t>
      </w:r>
    </w:p>
    <w:p>
      <w:pPr>
        <w:pStyle w:val="Normal"/>
        <w:rPr/>
      </w:pPr>
      <w:r>
        <w:rPr/>
        <w:t>The SVE system is operational but shutdown pending a modification to the air permit. The PSH recovery system is still operational. A Senate Bill 1126 notification was submitted to the TNRCC on August 10</w:t>
      </w:r>
      <w:r>
        <w:rPr>
          <w:vertAlign w:val="superscript"/>
        </w:rPr>
        <w:t>th</w:t>
      </w:r>
      <w:r>
        <w:rPr/>
        <w:t>. This should allow us to get the SVE system back up within the next 4-6 weeks. The previously submitted SB1126 notification was approved. This notification allows us to utilize any combination of SVE wells in operating the system. We are also working on a supplemental work order to fund the proposed additional SVE/AS wells. Clayton Barnhill is scheduled to complete the next semiannual groundwater-sampling event on August 22</w:t>
      </w:r>
      <w:r>
        <w:rPr>
          <w:vertAlign w:val="superscript"/>
        </w:rPr>
        <w:t>nd</w:t>
      </w:r>
      <w:r>
        <w:rPr/>
        <w:t>.</w:t>
      </w:r>
    </w:p>
    <w:p>
      <w:pPr>
        <w:pStyle w:val="Heading2"/>
        <w:ind w:hanging="0" w:start="0"/>
        <w:rPr/>
      </w:pPr>
      <w:r>
        <w:rPr/>
        <w:t>TW Laguna C/S #6, Ground Water Remediation</w:t>
      </w:r>
    </w:p>
    <w:p>
      <w:pPr>
        <w:pStyle w:val="Normal"/>
        <w:rPr/>
      </w:pPr>
      <w:r>
        <w:rPr/>
        <w:t xml:space="preserve">A semiannual groundwater-sampling event was completed in June. </w:t>
      </w:r>
    </w:p>
    <w:p>
      <w:pPr>
        <w:pStyle w:val="Heading2"/>
        <w:ind w:hanging="0" w:start="0"/>
        <w:rPr/>
      </w:pPr>
      <w:r>
        <w:rPr/>
        <w:t>TW Laguna C/S #6, Soil Remediation</w:t>
      </w:r>
    </w:p>
    <w:p>
      <w:pPr>
        <w:pStyle w:val="Normal"/>
        <w:rPr/>
      </w:pPr>
      <w:r>
        <w:rPr/>
        <w:t>No new action.</w:t>
      </w:r>
    </w:p>
    <w:p>
      <w:pPr>
        <w:pStyle w:val="Heading2"/>
        <w:ind w:hanging="0" w:start="0"/>
        <w:rPr/>
      </w:pPr>
      <w:r>
        <w:rPr/>
        <w:t>TW Roswell C/S #9, Soil and Ground Water Remediation</w:t>
      </w:r>
    </w:p>
    <w:p>
      <w:pPr>
        <w:pStyle w:val="Normal"/>
        <w:rPr/>
      </w:pPr>
      <w:r>
        <w:rPr/>
        <w:t>A work plan for characterization of impacted soil in the area of the former surface impoundments was submitted to the NMOCD on July 6th. The work plan was forwarded to the NMED on July 26</w:t>
      </w:r>
      <w:r>
        <w:rPr>
          <w:vertAlign w:val="superscript"/>
        </w:rPr>
        <w:t>th</w:t>
      </w:r>
      <w:r>
        <w:rPr/>
        <w:t xml:space="preserve">. I will follow-up with the OCD regarding approval of the work plan. </w:t>
      </w:r>
    </w:p>
    <w:p>
      <w:pPr>
        <w:pStyle w:val="Heading2"/>
        <w:ind w:hanging="0" w:start="0"/>
        <w:rPr/>
      </w:pPr>
      <w:r>
        <w:rPr/>
        <w:t>TW Thoreau C/S #5, Ground Water Remediation</w:t>
      </w:r>
    </w:p>
    <w:p>
      <w:pPr>
        <w:pStyle w:val="Normal"/>
        <w:rPr/>
      </w:pPr>
      <w:r>
        <w:rPr/>
        <w:t>The SVE system is in operation. The last semiannual groundwater sampling event was completed in May. Clayton Barnhill completed the installation of two additional groundwater monitor wells on July 27</w:t>
      </w:r>
      <w:r>
        <w:rPr>
          <w:vertAlign w:val="superscript"/>
        </w:rPr>
        <w:t>th</w:t>
      </w:r>
      <w:r>
        <w:rPr/>
        <w:t>. The wells are located in the southeast corner of the facility and will assess the potential presence of PCBs in groundwater. Lab results should be available within the next week.</w:t>
      </w:r>
    </w:p>
    <w:p>
      <w:pPr>
        <w:pStyle w:val="Heading2"/>
        <w:ind w:hanging="0" w:start="0"/>
        <w:rPr/>
      </w:pPr>
      <w:r>
        <w:rPr/>
        <w:t>TW WT-1 C/S, Dehy Area Remediation</w:t>
      </w:r>
    </w:p>
    <w:p>
      <w:pPr>
        <w:pStyle w:val="Normal"/>
        <w:rPr/>
      </w:pPr>
      <w:r>
        <w:rPr/>
        <w:t>The SVE system is in operation. Clayton Barnhill is scheduled to complete the next semiannual groundwater-sampling event on August 15</w:t>
      </w:r>
      <w:r>
        <w:rPr>
          <w:vertAlign w:val="superscript"/>
        </w:rPr>
        <w:t>th</w:t>
      </w:r>
      <w:r>
        <w:rPr/>
        <w:t>.</w:t>
      </w:r>
    </w:p>
    <w:p>
      <w:pPr>
        <w:pStyle w:val="Heading2"/>
        <w:ind w:hanging="0" w:start="0"/>
        <w:rPr/>
      </w:pPr>
      <w:r>
        <w:rPr/>
        <w:t>TW WT-1 C/S, Engine Room Pit Area Investigation</w:t>
      </w:r>
    </w:p>
    <w:p>
      <w:pPr>
        <w:pStyle w:val="Normal"/>
        <w:rPr/>
      </w:pPr>
      <w:r>
        <w:rPr/>
        <w:t>We are continuing to regularly check for the presence of PSH in the recovery wells that were installed last year. There has been no significant accumulation of PSH in any of the new wells.</w:t>
      </w:r>
    </w:p>
    <w:p>
      <w:pPr>
        <w:pStyle w:val="Normal"/>
        <w:rPr/>
      </w:pPr>
      <w:r>
        <w:rPr/>
      </w:r>
    </w:p>
    <w:sectPr>
      <w:headerReference w:type="default" r:id="rId2"/>
      <w:headerReference w:type="first" r:id="rId3"/>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sz w:val="20"/>
      </w:rPr>
    </w:pPr>
    <w:r>
      <w:rPr>
        <w:sz w:val="20"/>
      </w:rPr>
      <w:t>Larry Campbell</w:t>
      <w:tab/>
      <w:t>August 14, 2001</w:t>
    </w:r>
  </w:p>
  <w:p>
    <w:pPr>
      <w:pStyle w:val="Header"/>
      <w:pBdr>
        <w:bottom w:val="single" w:sz="6" w:space="1" w:color="000000"/>
      </w:pBdr>
      <w:tabs>
        <w:tab w:val="clear" w:pos="4320"/>
        <w:tab w:val="clear" w:pos="8640"/>
        <w:tab w:val="right" w:pos="9360" w:leader="none"/>
      </w:tabs>
      <w:rPr/>
    </w:pPr>
    <w:r>
      <w:rPr>
        <w:sz w:val="20"/>
      </w:rPr>
      <w:t>Weekly Report for CES</w:t>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4680"/>
      <w:gridCol w:w="4680"/>
    </w:tblGrid>
    <w:tr>
      <w:trPr/>
      <w:tc>
        <w:tcPr>
          <w:tcW w:w="4680" w:type="dxa"/>
          <w:tcBorders>
            <w:bottom w:val="single" w:sz="6" w:space="0" w:color="000000"/>
          </w:tcBorders>
        </w:tcPr>
        <w:p>
          <w:pPr>
            <w:pStyle w:val="Normal"/>
            <w:tabs>
              <w:tab w:val="clear" w:pos="720"/>
              <w:tab w:val="left" w:pos="180" w:leader="none"/>
              <w:tab w:val="left" w:pos="1080" w:leader="none"/>
            </w:tabs>
            <w:snapToGrid w:val="false"/>
            <w:rPr>
              <w:rFonts w:ascii="Century Gothic" w:hAnsi="Century Gothic" w:cs="Century Gothic"/>
              <w:sz w:val="16"/>
            </w:rPr>
          </w:pPr>
          <w:r>
            <w:rPr>
              <w:rFonts w:cs="Century Gothic" w:ascii="Century Gothic" w:hAnsi="Century Gothic"/>
              <w:sz w:val="16"/>
            </w:rPr>
          </w:r>
        </w:p>
        <w:p>
          <w:pPr>
            <w:pStyle w:val="Normal"/>
            <w:tabs>
              <w:tab w:val="clear" w:pos="720"/>
              <w:tab w:val="left" w:pos="180" w:leader="none"/>
              <w:tab w:val="left" w:pos="810" w:leader="none"/>
            </w:tabs>
            <w:rPr>
              <w:rFonts w:ascii="Century Gothic" w:hAnsi="Century Gothic" w:cs="Century Gothic"/>
              <w:b/>
              <w:spacing w:val="-35"/>
              <w:sz w:val="16"/>
            </w:rPr>
          </w:pPr>
          <w:r>
            <w:rPr>
              <w:rFonts w:cs="Century Gothic" w:ascii="Century Gothic" w:hAnsi="Century Gothic"/>
              <w:sz w:val="20"/>
            </w:rPr>
            <w:drawing>
              <wp:inline distT="0" distB="0" distL="0" distR="0">
                <wp:extent cx="461010" cy="4019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6" t="-18" r="-16" b="-18"/>
                        <a:stretch>
                          <a:fillRect/>
                        </a:stretch>
                      </pic:blipFill>
                      <pic:spPr bwMode="auto">
                        <a:xfrm>
                          <a:off x="0" y="0"/>
                          <a:ext cx="461010" cy="401955"/>
                        </a:xfrm>
                        <a:prstGeom prst="rect">
                          <a:avLst/>
                        </a:prstGeom>
                        <a:noFill/>
                      </pic:spPr>
                    </pic:pic>
                  </a:graphicData>
                </a:graphic>
              </wp:inline>
            </w:drawing>
          </w:r>
          <w:r>
            <w:rPr>
              <w:rFonts w:cs="Century Gothic" w:ascii="Century Gothic" w:hAnsi="Century Gothic"/>
              <w:sz w:val="16"/>
            </w:rPr>
            <w:tab/>
          </w:r>
          <w:r>
            <w:rPr>
              <w:rFonts w:cs="Century Gothic" w:ascii="Century Gothic" w:hAnsi="Century Gothic"/>
              <w:sz w:val="36"/>
            </w:rPr>
            <w:t>Cypress Engineering</w:t>
          </w:r>
        </w:p>
      </w:tc>
      <w:tc>
        <w:tcPr>
          <w:tcW w:w="4680" w:type="dxa"/>
          <w:tcBorders>
            <w:bottom w:val="single" w:sz="6" w:space="0" w:color="000000"/>
          </w:tcBorders>
        </w:tcPr>
        <w:p>
          <w:pPr>
            <w:pStyle w:val="Normal"/>
            <w:ind w:start="1710" w:end="20"/>
            <w:jc w:val="start"/>
            <w:rPr>
              <w:rFonts w:ascii="Century Gothic" w:hAnsi="Century Gothic" w:cs="Century Gothic"/>
              <w:sz w:val="16"/>
            </w:rPr>
          </w:pPr>
          <w:r>
            <w:rPr>
              <w:rFonts w:cs="Century Gothic" w:ascii="Century Gothic" w:hAnsi="Century Gothic"/>
              <w:sz w:val="16"/>
            </w:rPr>
            <w:t>10235 West Little York Road, Suite 256</w:t>
          </w:r>
        </w:p>
        <w:p>
          <w:pPr>
            <w:pStyle w:val="Normal"/>
            <w:ind w:start="1710" w:end="20"/>
            <w:jc w:val="start"/>
            <w:rPr>
              <w:rFonts w:ascii="Century Gothic" w:hAnsi="Century Gothic" w:cs="Century Gothic"/>
              <w:sz w:val="16"/>
            </w:rPr>
          </w:pPr>
          <w:r>
            <w:rPr>
              <w:rFonts w:cs="Century Gothic" w:ascii="Century Gothic" w:hAnsi="Century Gothic"/>
              <w:sz w:val="16"/>
            </w:rPr>
            <w:t>Houston, Texas  77040</w:t>
          </w:r>
        </w:p>
        <w:p>
          <w:pPr>
            <w:pStyle w:val="Normal"/>
            <w:ind w:start="1710" w:end="20"/>
            <w:jc w:val="start"/>
            <w:rPr>
              <w:rFonts w:ascii="Century Gothic" w:hAnsi="Century Gothic" w:cs="Century Gothic"/>
              <w:sz w:val="8"/>
            </w:rPr>
          </w:pPr>
          <w:r>
            <w:rPr>
              <w:rFonts w:cs="Century Gothic" w:ascii="Century Gothic" w:hAnsi="Century Gothic"/>
              <w:sz w:val="8"/>
            </w:rPr>
          </w:r>
        </w:p>
        <w:p>
          <w:pPr>
            <w:pStyle w:val="Normal"/>
            <w:ind w:start="1710" w:end="20"/>
            <w:jc w:val="start"/>
            <w:rPr>
              <w:rFonts w:ascii="Century Gothic" w:hAnsi="Century Gothic" w:cs="Century Gothic"/>
              <w:sz w:val="16"/>
            </w:rPr>
          </w:pPr>
          <w:r>
            <w:rPr>
              <w:rFonts w:cs="Century Gothic" w:ascii="Century Gothic" w:hAnsi="Century Gothic"/>
              <w:sz w:val="16"/>
            </w:rPr>
            <w:t>(713) 856-7980 office</w:t>
          </w:r>
        </w:p>
        <w:p>
          <w:pPr>
            <w:pStyle w:val="Normal"/>
            <w:ind w:start="1710" w:end="20"/>
            <w:jc w:val="start"/>
            <w:rPr>
              <w:rFonts w:ascii="Century Gothic" w:hAnsi="Century Gothic" w:cs="Century Gothic"/>
              <w:sz w:val="16"/>
            </w:rPr>
          </w:pPr>
          <w:r>
            <w:rPr>
              <w:rFonts w:cs="Century Gothic" w:ascii="Century Gothic" w:hAnsi="Century Gothic"/>
              <w:sz w:val="16"/>
            </w:rPr>
            <w:t>(713) 856-7981 fax</w:t>
          </w:r>
        </w:p>
      </w:tc>
    </w:tr>
  </w:tbl>
  <w:p>
    <w:pPr>
      <w:pStyle w:val="Normal"/>
      <w:tabs>
        <w:tab w:val="clear" w:pos="720"/>
        <w:tab w:val="left" w:pos="630" w:leader="none"/>
        <w:tab w:val="left" w:pos="1080" w:leader="none"/>
      </w:tabs>
      <w:rPr>
        <w:sz w:val="12"/>
      </w:rPr>
    </w:pPr>
    <w:r>
      <w:rPr>
        <w:sz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tabs>
        <w:tab w:val="clear" w:pos="720"/>
        <w:tab w:val="right" w:pos="9360" w:leader="none"/>
      </w:tabs>
      <w:spacing w:before="240" w:after="0"/>
      <w:outlineLvl w:val="1"/>
    </w:pPr>
    <w:rPr>
      <w:b/>
      <w:i/>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mall">
    <w:name w:val="Small"/>
    <w:basedOn w:val="Normal"/>
    <w:qFormat/>
    <w:pPr/>
    <w:rPr>
      <w:rFonts w:ascii="Century Gothic" w:hAnsi="Century Gothic" w:cs="Century Gothic"/>
      <w:sz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CES_ME_E</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2001-08-14T12:36:00Z</dcterms:created>
  <dc:creator>OTS</dc:creator>
  <dc:description/>
  <dc:language>en-CA</dc:language>
  <cp:lastModifiedBy>grobins</cp:lastModifiedBy>
  <cp:lastPrinted>1999-01-05T08:57:00Z</cp:lastPrinted>
  <dcterms:modified xsi:type="dcterms:W3CDTF">2001-08-14T12:36:00Z</dcterms:modified>
  <cp:revision>2</cp:revision>
  <dc:subject/>
  <dc:title>George C. Robinson, P.E._</dc:title>
</cp:coreProperties>
</file>