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start"/>
        <w:tblInd w:w="0" w:type="dxa"/>
        <w:tblLayout w:type="fixed"/>
        <w:tblCellMar>
          <w:top w:w="0" w:type="dxa"/>
          <w:start w:w="0" w:type="dxa"/>
          <w:bottom w:w="0" w:type="dxa"/>
          <w:end w:w="0" w:type="dxa"/>
        </w:tblCellMar>
      </w:tblPr>
      <w:tblGrid>
        <w:gridCol w:w="2880"/>
        <w:gridCol w:w="3514"/>
        <w:gridCol w:w="2966"/>
      </w:tblGrid>
      <w:tr>
        <w:trPr/>
        <w:tc>
          <w:tcPr>
            <w:tcW w:w="2880" w:type="dxa"/>
            <w:tcBorders/>
          </w:tcPr>
          <w:p>
            <w:pPr>
              <w:pStyle w:val="Small"/>
              <w:rPr>
                <w:sz w:val="16"/>
              </w:rPr>
            </w:pPr>
            <w:r>
              <w:rPr>
                <w:b/>
                <w:sz w:val="20"/>
              </w:rPr>
              <w:t>George C. Robinson, P.E.</w:t>
            </w:r>
          </w:p>
        </w:tc>
        <w:tc>
          <w:tcPr>
            <w:tcW w:w="3514" w:type="dxa"/>
            <w:tcBorders/>
          </w:tcPr>
          <w:p>
            <w:pPr>
              <w:pStyle w:val="Small"/>
              <w:tabs>
                <w:tab w:val="clear" w:pos="720"/>
                <w:tab w:val="left" w:pos="360" w:leader="none"/>
              </w:tabs>
              <w:rPr>
                <w:sz w:val="16"/>
              </w:rPr>
            </w:pPr>
            <w:r>
              <w:rPr>
                <w:sz w:val="16"/>
              </w:rPr>
              <w:t>c/o:</w:t>
              <w:tab/>
              <w:t>ENRON Operations Corp.</w:t>
            </w:r>
          </w:p>
          <w:p>
            <w:pPr>
              <w:pStyle w:val="Small"/>
              <w:tabs>
                <w:tab w:val="clear" w:pos="720"/>
                <w:tab w:val="left" w:pos="360" w:leader="none"/>
              </w:tabs>
              <w:rPr>
                <w:sz w:val="16"/>
              </w:rPr>
            </w:pPr>
            <w:r>
              <w:rPr>
                <w:sz w:val="16"/>
              </w:rPr>
              <w:tab/>
              <w:t>Environmental Affairs Dept.</w:t>
            </w:r>
          </w:p>
        </w:tc>
        <w:tc>
          <w:tcPr>
            <w:tcW w:w="2966" w:type="dxa"/>
            <w:tcBorders/>
          </w:tcPr>
          <w:p>
            <w:pPr>
              <w:pStyle w:val="Small"/>
              <w:ind w:end="20"/>
              <w:jc w:val="start"/>
              <w:rPr>
                <w:sz w:val="16"/>
              </w:rPr>
            </w:pPr>
            <w:r>
              <w:rPr>
                <w:sz w:val="16"/>
              </w:rPr>
              <w:t>(713) 646-7327 ENRON office</w:t>
            </w:r>
          </w:p>
          <w:p>
            <w:pPr>
              <w:pStyle w:val="Small"/>
              <w:ind w:end="20"/>
              <w:jc w:val="start"/>
              <w:rPr>
                <w:sz w:val="16"/>
              </w:rPr>
            </w:pPr>
            <w:r>
              <w:rPr>
                <w:sz w:val="16"/>
              </w:rPr>
              <w:t>(713) 646-7867 ENRON fax</w:t>
            </w:r>
          </w:p>
        </w:tc>
      </w:tr>
    </w:tbl>
    <w:p>
      <w:pPr>
        <w:pStyle w:val="Normal"/>
        <w:spacing w:before="120" w:after="0"/>
        <w:rPr/>
      </w:pPr>
      <w:r>
        <w:rPr/>
        <w:t>Memorandum</w:t>
      </w:r>
    </w:p>
    <w:tbl>
      <w:tblPr>
        <w:tblW w:w="9360" w:type="dxa"/>
        <w:jc w:val="start"/>
        <w:tblInd w:w="0" w:type="dxa"/>
        <w:tblLayout w:type="fixed"/>
        <w:tblCellMar>
          <w:top w:w="0" w:type="dxa"/>
          <w:start w:w="0" w:type="dxa"/>
          <w:bottom w:w="0" w:type="dxa"/>
          <w:end w:w="0" w:type="dxa"/>
        </w:tblCellMar>
      </w:tblPr>
      <w:tblGrid>
        <w:gridCol w:w="720"/>
        <w:gridCol w:w="5400"/>
        <w:gridCol w:w="720"/>
        <w:gridCol w:w="2520"/>
      </w:tblGrid>
      <w:tr>
        <w:trPr/>
        <w:tc>
          <w:tcPr>
            <w:tcW w:w="720" w:type="dxa"/>
            <w:tcBorders/>
          </w:tcPr>
          <w:p>
            <w:pPr>
              <w:pStyle w:val="Normal"/>
              <w:spacing w:before="240" w:after="0"/>
              <w:jc w:val="start"/>
              <w:rPr>
                <w:sz w:val="20"/>
              </w:rPr>
            </w:pPr>
            <w:r>
              <w:rPr>
                <w:sz w:val="20"/>
              </w:rPr>
              <w:t>To:</w:t>
            </w:r>
          </w:p>
        </w:tc>
        <w:tc>
          <w:tcPr>
            <w:tcW w:w="5400" w:type="dxa"/>
            <w:tcBorders/>
          </w:tcPr>
          <w:p>
            <w:pPr>
              <w:pStyle w:val="Normal"/>
              <w:spacing w:before="240" w:after="0"/>
              <w:jc w:val="start"/>
              <w:rPr>
                <w:b/>
                <w:sz w:val="20"/>
              </w:rPr>
            </w:pPr>
            <w:r>
              <w:rPr>
                <w:b/>
                <w:sz w:val="20"/>
              </w:rPr>
              <w:t>Larry Campbell</w:t>
            </w:r>
          </w:p>
        </w:tc>
        <w:tc>
          <w:tcPr>
            <w:tcW w:w="720" w:type="dxa"/>
            <w:tcBorders/>
          </w:tcPr>
          <w:p>
            <w:pPr>
              <w:pStyle w:val="Normal"/>
              <w:spacing w:before="240" w:after="0"/>
              <w:jc w:val="start"/>
              <w:rPr>
                <w:sz w:val="20"/>
              </w:rPr>
            </w:pPr>
            <w:r>
              <w:rPr>
                <w:sz w:val="20"/>
              </w:rPr>
              <w:t>Date:</w:t>
            </w:r>
          </w:p>
        </w:tc>
        <w:tc>
          <w:tcPr>
            <w:tcW w:w="2520" w:type="dxa"/>
            <w:tcBorders/>
          </w:tcPr>
          <w:p>
            <w:pPr>
              <w:pStyle w:val="Normal"/>
              <w:spacing w:before="240" w:after="0"/>
              <w:jc w:val="start"/>
              <w:rPr>
                <w:b/>
                <w:sz w:val="20"/>
              </w:rPr>
            </w:pPr>
            <w:r>
              <w:rPr>
                <w:b/>
                <w:sz w:val="20"/>
              </w:rPr>
              <w:t>April 9, 2001</w:t>
            </w:r>
          </w:p>
        </w:tc>
      </w:tr>
    </w:tbl>
    <w:p>
      <w:pPr>
        <w:pStyle w:val="Normal"/>
        <w:spacing w:before="240" w:after="0"/>
        <w:rPr>
          <w:sz w:val="20"/>
        </w:rPr>
      </w:pPr>
      <w:r>
        <w:rPr>
          <w:sz w:val="20"/>
        </w:rPr>
        <w:t>From:</w:t>
        <w:tab/>
      </w:r>
      <w:r>
        <w:rPr>
          <w:b/>
          <w:sz w:val="20"/>
        </w:rPr>
        <w:t>George Robinson</w:t>
      </w:r>
    </w:p>
    <w:p>
      <w:pPr>
        <w:pStyle w:val="Normal"/>
        <w:pBdr>
          <w:bottom w:val="single" w:sz="6" w:space="12" w:color="000000"/>
        </w:pBdr>
        <w:spacing w:before="240" w:after="0"/>
        <w:ind w:hanging="720" w:start="720" w:end="0"/>
        <w:rPr>
          <w:sz w:val="20"/>
        </w:rPr>
      </w:pPr>
      <w:r>
        <w:rPr>
          <w:sz w:val="20"/>
        </w:rPr>
        <w:t>Subject:</w:t>
        <w:tab/>
      </w:r>
      <w:r>
        <w:rPr>
          <w:b/>
          <w:sz w:val="20"/>
        </w:rPr>
        <w:t>Weekly Report for Cypress Engineering Services, Inc. (CES): April 2, 2001 – April 9, 2001</w:t>
      </w:r>
    </w:p>
    <w:p>
      <w:pPr>
        <w:pStyle w:val="Heading2"/>
        <w:ind w:hanging="0" w:start="0"/>
        <w:rPr/>
      </w:pPr>
      <w:r>
        <w:rPr/>
        <w:t>NNG Gomez Plant, Ground Water Remediation</w:t>
      </w:r>
    </w:p>
    <w:p>
      <w:pPr>
        <w:pStyle w:val="Normal"/>
        <w:rPr/>
      </w:pPr>
      <w:r>
        <w:rPr/>
        <w:t>The recovery system is in operation. A summary report for the quarterly sampling event that was completed in February will be prepared and distributed within the next couple weeks.</w:t>
      </w:r>
    </w:p>
    <w:p>
      <w:pPr>
        <w:pStyle w:val="Heading2"/>
        <w:ind w:hanging="0" w:start="0"/>
        <w:rPr/>
      </w:pPr>
      <w:r>
        <w:rPr/>
        <w:t>NNG Eunice, Ground Water Monitoring</w:t>
      </w:r>
    </w:p>
    <w:p>
      <w:pPr>
        <w:pStyle w:val="Normal"/>
        <w:rPr/>
      </w:pPr>
      <w:r>
        <w:rPr/>
        <w:t>No new action.</w:t>
      </w:r>
    </w:p>
    <w:p>
      <w:pPr>
        <w:pStyle w:val="Heading2"/>
        <w:ind w:hanging="0" w:start="0"/>
        <w:rPr/>
      </w:pPr>
      <w:r>
        <w:rPr/>
        <w:t>NNG Lockridge, Ground Water Remediation</w:t>
      </w:r>
    </w:p>
    <w:p>
      <w:pPr>
        <w:pStyle w:val="Normal"/>
        <w:rPr/>
      </w:pPr>
      <w:r>
        <w:rPr/>
        <w:t xml:space="preserve">The SVE and liquid recovery systems are in operation. A proposal for system modifications has been prepared and will be sent to you this week. The work order for 2001 has been submitted by Rick Johnson but has not yet been authorized. No major work will be completed prior to authorization. </w:t>
      </w:r>
    </w:p>
    <w:p>
      <w:pPr>
        <w:pStyle w:val="Heading2"/>
        <w:ind w:hanging="0" w:start="0"/>
        <w:rPr/>
      </w:pPr>
      <w:r>
        <w:rPr/>
        <w:t>TW Atoka-1, Ground Water Remediation</w:t>
      </w:r>
    </w:p>
    <w:p>
      <w:pPr>
        <w:pStyle w:val="Normal"/>
        <w:rPr/>
      </w:pPr>
      <w:r>
        <w:rPr/>
        <w:t>The SVE and liquid recovery systems are in operation.</w:t>
      </w:r>
    </w:p>
    <w:p>
      <w:pPr>
        <w:pStyle w:val="Heading2"/>
        <w:ind w:hanging="0" w:start="0"/>
        <w:rPr/>
      </w:pPr>
      <w:r>
        <w:rPr/>
        <w:t>TW Bell Lake Gas Plant, Ground Water Remediation</w:t>
      </w:r>
    </w:p>
    <w:p>
      <w:pPr>
        <w:pStyle w:val="Normal"/>
        <w:rPr/>
      </w:pPr>
      <w:r>
        <w:rPr/>
        <w:t>The SVE and liquid recovery systems are in operation. I am working on a proposal for system modifications. The work order for 2001 has been submitted by Rick Johnson but has not yet been authorized. No major work will be completed prior to authorization.</w:t>
      </w:r>
    </w:p>
    <w:p>
      <w:pPr>
        <w:pStyle w:val="Heading2"/>
        <w:ind w:hanging="0" w:start="0"/>
        <w:rPr/>
      </w:pPr>
      <w:r>
        <w:rPr/>
        <w:t>TW North Crawar Station, Ground Water Remediation</w:t>
      </w:r>
    </w:p>
    <w:p>
      <w:pPr>
        <w:pStyle w:val="Normal"/>
        <w:rPr/>
      </w:pPr>
      <w:r>
        <w:rPr/>
        <w:t>The SVE and liquid recovery systems are in operation. I will be on-site this week to go over the new system. A proposal for system modifications has been prepared and will be sent to you this week. The work order for 2001 has been submitted by Rick Johnson but has not yet been authorized. No major work will be completed prior to authorization.</w:t>
      </w:r>
    </w:p>
    <w:p>
      <w:pPr>
        <w:pStyle w:val="Heading2"/>
        <w:ind w:hanging="0" w:start="0"/>
        <w:rPr/>
      </w:pPr>
      <w:r>
        <w:rPr/>
        <w:t>TW Laguna C/S #6, Ground Water Remediation</w:t>
      </w:r>
    </w:p>
    <w:p>
      <w:pPr>
        <w:pStyle w:val="Normal"/>
        <w:rPr/>
      </w:pPr>
      <w:r>
        <w:rPr/>
        <w:t>No new action.</w:t>
      </w:r>
    </w:p>
    <w:p>
      <w:pPr>
        <w:pStyle w:val="Heading2"/>
        <w:ind w:hanging="0" w:start="0"/>
        <w:rPr/>
      </w:pPr>
      <w:r>
        <w:rPr/>
        <w:t>TW Laguna C/S #6, Soil Remediation</w:t>
      </w:r>
    </w:p>
    <w:p>
      <w:pPr>
        <w:pStyle w:val="Normal"/>
        <w:rPr/>
      </w:pPr>
      <w:r>
        <w:rPr/>
        <w:t>No new action.</w:t>
      </w:r>
    </w:p>
    <w:p>
      <w:pPr>
        <w:pStyle w:val="Heading2"/>
        <w:ind w:hanging="0" w:start="0"/>
        <w:rPr/>
      </w:pPr>
      <w:r>
        <w:rPr/>
        <w:t>TW Roswell C/S #9, Soil and Ground Water Remediation</w:t>
      </w:r>
    </w:p>
    <w:p>
      <w:pPr>
        <w:pStyle w:val="Normal"/>
        <w:rPr/>
      </w:pPr>
      <w:r>
        <w:rPr/>
        <w:t xml:space="preserve">A draft work plan has been prepared for removal of the two former surface impoundments. The work plan has been distributed for internal review. The existing recovery system is shut down pending installation of a full scale remediation system. </w:t>
      </w:r>
    </w:p>
    <w:p>
      <w:pPr>
        <w:pStyle w:val="Heading2"/>
        <w:ind w:hanging="0" w:start="0"/>
        <w:rPr/>
      </w:pPr>
      <w:r>
        <w:rPr/>
        <w:t>TW Thoreau C/S #5, Ground Water Remediation</w:t>
      </w:r>
    </w:p>
    <w:p>
      <w:pPr>
        <w:pStyle w:val="Normal"/>
        <w:rPr/>
      </w:pPr>
      <w:r>
        <w:rPr/>
        <w:t>The SVE system has been shut-down for winter weather. The system will be restarted in May.</w:t>
      </w:r>
    </w:p>
    <w:p>
      <w:pPr>
        <w:pStyle w:val="Heading2"/>
        <w:ind w:hanging="0" w:start="0"/>
        <w:rPr/>
      </w:pPr>
      <w:r>
        <w:rPr/>
        <w:t>TW WT-1 C/S, Dehy Area Remediation</w:t>
      </w:r>
    </w:p>
    <w:p>
      <w:pPr>
        <w:pStyle w:val="Normal"/>
        <w:rPr/>
      </w:pPr>
      <w:r>
        <w:rPr/>
        <w:t>The SVE system has been shut-down for winter weather. The system will be restarted later this month.</w:t>
      </w:r>
    </w:p>
    <w:p>
      <w:pPr>
        <w:pStyle w:val="Heading2"/>
        <w:ind w:hanging="0" w:start="0"/>
        <w:rPr/>
      </w:pPr>
      <w:r>
        <w:rPr/>
        <w:t>TW WT-1 C/S, Engine Room Pit Area Investigation</w:t>
      </w:r>
    </w:p>
    <w:p>
      <w:pPr>
        <w:pStyle w:val="Normal"/>
        <w:rPr/>
      </w:pPr>
      <w:r>
        <w:rPr/>
        <w:t>No new action.</w:t>
      </w:r>
    </w:p>
    <w:p>
      <w:pPr>
        <w:pStyle w:val="Normal"/>
        <w:rPr/>
      </w:pPr>
      <w:r>
        <w:rPr/>
      </w:r>
    </w:p>
    <w:sectPr>
      <w:headerReference w:type="default" r:id="rId2"/>
      <w:headerReference w:type="first" r:id="rId3"/>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sz w:val="20"/>
      </w:rPr>
    </w:pPr>
    <w:r>
      <w:rPr>
        <w:sz w:val="20"/>
      </w:rPr>
      <w:t>Larry Campbell</w:t>
      <w:tab/>
      <w:t>April 9, 2001</w:t>
    </w:r>
  </w:p>
  <w:p>
    <w:pPr>
      <w:pStyle w:val="Header"/>
      <w:pBdr>
        <w:bottom w:val="single" w:sz="6" w:space="1" w:color="000000"/>
      </w:pBdr>
      <w:tabs>
        <w:tab w:val="clear" w:pos="4320"/>
        <w:tab w:val="clear" w:pos="8640"/>
        <w:tab w:val="right" w:pos="9360" w:leader="none"/>
      </w:tabs>
      <w:rPr/>
    </w:pPr>
    <w:r>
      <w:rPr>
        <w:sz w:val="20"/>
      </w:rPr>
      <w:t>Weekly Report for CES</w:t>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4680"/>
      <w:gridCol w:w="4680"/>
    </w:tblGrid>
    <w:tr>
      <w:trPr/>
      <w:tc>
        <w:tcPr>
          <w:tcW w:w="4680" w:type="dxa"/>
          <w:tcBorders>
            <w:bottom w:val="single" w:sz="6" w:space="0" w:color="000000"/>
          </w:tcBorders>
        </w:tcPr>
        <w:p>
          <w:pPr>
            <w:pStyle w:val="Normal"/>
            <w:tabs>
              <w:tab w:val="clear" w:pos="720"/>
              <w:tab w:val="left" w:pos="180" w:leader="none"/>
              <w:tab w:val="left" w:pos="1080" w:leader="none"/>
            </w:tabs>
            <w:snapToGrid w:val="false"/>
            <w:rPr>
              <w:rFonts w:ascii="Century Gothic" w:hAnsi="Century Gothic" w:cs="Century Gothic"/>
              <w:sz w:val="16"/>
            </w:rPr>
          </w:pPr>
          <w:r>
            <w:rPr>
              <w:rFonts w:cs="Century Gothic" w:ascii="Century Gothic" w:hAnsi="Century Gothic"/>
              <w:sz w:val="16"/>
            </w:rPr>
          </w:r>
        </w:p>
        <w:p>
          <w:pPr>
            <w:pStyle w:val="Normal"/>
            <w:tabs>
              <w:tab w:val="clear" w:pos="720"/>
              <w:tab w:val="left" w:pos="180" w:leader="none"/>
              <w:tab w:val="left" w:pos="810" w:leader="none"/>
            </w:tabs>
            <w:rPr>
              <w:rFonts w:ascii="Century Gothic" w:hAnsi="Century Gothic" w:cs="Century Gothic"/>
              <w:b/>
              <w:spacing w:val="-35"/>
              <w:sz w:val="16"/>
            </w:rPr>
          </w:pPr>
          <w:r>
            <w:rPr>
              <w:rFonts w:cs="Century Gothic" w:ascii="Century Gothic" w:hAnsi="Century Gothic"/>
              <w:sz w:val="20"/>
            </w:rPr>
            <w:drawing>
              <wp:inline distT="0" distB="0" distL="0" distR="0">
                <wp:extent cx="461010" cy="4019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18" r="-16" b="-18"/>
                        <a:stretch>
                          <a:fillRect/>
                        </a:stretch>
                      </pic:blipFill>
                      <pic:spPr bwMode="auto">
                        <a:xfrm>
                          <a:off x="0" y="0"/>
                          <a:ext cx="461010" cy="401955"/>
                        </a:xfrm>
                        <a:prstGeom prst="rect">
                          <a:avLst/>
                        </a:prstGeom>
                        <a:noFill/>
                      </pic:spPr>
                    </pic:pic>
                  </a:graphicData>
                </a:graphic>
              </wp:inline>
            </w:drawing>
          </w:r>
          <w:r>
            <w:rPr>
              <w:rFonts w:cs="Century Gothic" w:ascii="Century Gothic" w:hAnsi="Century Gothic"/>
              <w:sz w:val="16"/>
            </w:rPr>
            <w:tab/>
          </w:r>
          <w:r>
            <w:rPr>
              <w:rFonts w:cs="Century Gothic" w:ascii="Century Gothic" w:hAnsi="Century Gothic"/>
              <w:sz w:val="36"/>
            </w:rPr>
            <w:t>Cypress Engineering</w:t>
          </w:r>
        </w:p>
      </w:tc>
      <w:tc>
        <w:tcPr>
          <w:tcW w:w="4680" w:type="dxa"/>
          <w:tcBorders>
            <w:bottom w:val="single" w:sz="6" w:space="0" w:color="000000"/>
          </w:tcBorders>
        </w:tcPr>
        <w:p>
          <w:pPr>
            <w:pStyle w:val="Normal"/>
            <w:ind w:start="1710" w:end="20"/>
            <w:jc w:val="start"/>
            <w:rPr>
              <w:rFonts w:ascii="Century Gothic" w:hAnsi="Century Gothic" w:cs="Century Gothic"/>
              <w:sz w:val="16"/>
            </w:rPr>
          </w:pPr>
          <w:r>
            <w:rPr>
              <w:rFonts w:cs="Century Gothic" w:ascii="Century Gothic" w:hAnsi="Century Gothic"/>
              <w:sz w:val="16"/>
            </w:rPr>
            <w:t>10235 West Little York Road, Suite 256</w:t>
          </w:r>
        </w:p>
        <w:p>
          <w:pPr>
            <w:pStyle w:val="Normal"/>
            <w:ind w:start="1710" w:end="20"/>
            <w:jc w:val="start"/>
            <w:rPr>
              <w:rFonts w:ascii="Century Gothic" w:hAnsi="Century Gothic" w:cs="Century Gothic"/>
              <w:sz w:val="16"/>
            </w:rPr>
          </w:pPr>
          <w:r>
            <w:rPr>
              <w:rFonts w:cs="Century Gothic" w:ascii="Century Gothic" w:hAnsi="Century Gothic"/>
              <w:sz w:val="16"/>
            </w:rPr>
            <w:t>Houston, Texas  77040</w:t>
          </w:r>
        </w:p>
        <w:p>
          <w:pPr>
            <w:pStyle w:val="Normal"/>
            <w:ind w:start="1710" w:end="20"/>
            <w:jc w:val="start"/>
            <w:rPr>
              <w:rFonts w:ascii="Century Gothic" w:hAnsi="Century Gothic" w:cs="Century Gothic"/>
              <w:sz w:val="8"/>
            </w:rPr>
          </w:pPr>
          <w:r>
            <w:rPr>
              <w:rFonts w:cs="Century Gothic" w:ascii="Century Gothic" w:hAnsi="Century Gothic"/>
              <w:sz w:val="8"/>
            </w:rPr>
          </w:r>
        </w:p>
        <w:p>
          <w:pPr>
            <w:pStyle w:val="Normal"/>
            <w:ind w:start="1710" w:end="20"/>
            <w:jc w:val="start"/>
            <w:rPr>
              <w:rFonts w:ascii="Century Gothic" w:hAnsi="Century Gothic" w:cs="Century Gothic"/>
              <w:sz w:val="16"/>
            </w:rPr>
          </w:pPr>
          <w:r>
            <w:rPr>
              <w:rFonts w:cs="Century Gothic" w:ascii="Century Gothic" w:hAnsi="Century Gothic"/>
              <w:sz w:val="16"/>
            </w:rPr>
            <w:t>(713) 856-7980 office</w:t>
          </w:r>
        </w:p>
        <w:p>
          <w:pPr>
            <w:pStyle w:val="Normal"/>
            <w:ind w:start="1710" w:end="20"/>
            <w:jc w:val="start"/>
            <w:rPr>
              <w:rFonts w:ascii="Century Gothic" w:hAnsi="Century Gothic" w:cs="Century Gothic"/>
              <w:sz w:val="16"/>
            </w:rPr>
          </w:pPr>
          <w:r>
            <w:rPr>
              <w:rFonts w:cs="Century Gothic" w:ascii="Century Gothic" w:hAnsi="Century Gothic"/>
              <w:sz w:val="16"/>
            </w:rPr>
            <w:t>(713) 856-7981 fax</w:t>
          </w:r>
        </w:p>
      </w:tc>
    </w:tr>
  </w:tbl>
  <w:p>
    <w:pPr>
      <w:pStyle w:val="Normal"/>
      <w:tabs>
        <w:tab w:val="clear" w:pos="720"/>
        <w:tab w:val="left" w:pos="630" w:leader="none"/>
        <w:tab w:val="left" w:pos="1080" w:leader="none"/>
      </w:tabs>
      <w:rPr>
        <w:sz w:val="12"/>
      </w:rPr>
    </w:pPr>
    <w:r>
      <w:rPr>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en-US" w:bidi="hi-IN"/>
    </w:rPr>
  </w:style>
  <w:style w:type="paragraph" w:styleId="Heading2">
    <w:name w:val="heading 2"/>
    <w:basedOn w:val="Normal"/>
    <w:next w:val="Normal"/>
    <w:qFormat/>
    <w:pPr>
      <w:keepNext w:val="true"/>
      <w:numPr>
        <w:ilvl w:val="1"/>
        <w:numId w:val="1"/>
      </w:numPr>
      <w:tabs>
        <w:tab w:val="clear" w:pos="720"/>
        <w:tab w:val="right" w:pos="9360" w:leader="none"/>
      </w:tabs>
      <w:spacing w:before="240" w:after="0"/>
      <w:outlineLvl w:val="1"/>
    </w:pPr>
    <w:rPr>
      <w:b/>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mall">
    <w:name w:val="Small"/>
    <w:basedOn w:val="Normal"/>
    <w:qFormat/>
    <w:pPr/>
    <w:rPr>
      <w:rFonts w:ascii="Century Gothic" w:hAnsi="Century Gothic" w:cs="Century Gothic"/>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Ces_me_e</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2001-04-09T18:57:00Z</dcterms:created>
  <dc:creator>OTS</dc:creator>
  <dc:description/>
  <dc:language>en-CA</dc:language>
  <cp:lastModifiedBy>GROBINS</cp:lastModifiedBy>
  <cp:lastPrinted>1999-01-05T08:57:00Z</cp:lastPrinted>
  <dcterms:modified xsi:type="dcterms:W3CDTF">2001-04-09T19:01:00Z</dcterms:modified>
  <cp:revision>3</cp:revision>
  <dc:subject/>
  <dc:title>George C. Robinson, P.E._</dc:title>
</cp:coreProperties>
</file>