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DRAFT—</w:t>
      </w:r>
    </w:p>
    <w:p>
      <w:pPr>
        <w:pStyle w:val="Heading2"/>
        <w:ind w:hanging="0" w:start="0"/>
        <w:rPr>
          <w:rFonts w:ascii="Times New Roman" w:hAnsi="Times New Roman" w:cs="Times New Roman"/>
          <w:b w:val="false"/>
          <w:sz w:val="24"/>
        </w:rPr>
      </w:pPr>
      <w:r>
        <w:rPr>
          <w:rFonts w:cs="Times New Roman"/>
          <w:b w:val="false"/>
          <w:sz w:val="24"/>
        </w:rPr>
      </w:r>
    </w:p>
    <w:p>
      <w:pPr>
        <w:pStyle w:val="Heading2"/>
        <w:ind w:hanging="0" w:start="0"/>
        <w:rPr/>
      </w:pPr>
      <w:r>
        <w:rPr/>
        <w:t>TVA/Enron Timeline</w:t>
      </w:r>
    </w:p>
    <w:p>
      <w:pPr>
        <w:pStyle w:val="Heading1"/>
        <w:ind w:hanging="0" w:start="0"/>
        <w:rPr>
          <w:sz w:val="24"/>
        </w:rPr>
      </w:pPr>
      <w:r>
        <w:rPr>
          <w:sz w:val="24"/>
        </w:rPr>
        <w:t>January 5, 2000</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3"/>
        </w:rPr>
      </w:pPr>
      <w:r>
        <w:rPr>
          <w:rFonts w:cs="Times New Roman" w:ascii="Times New Roman" w:hAnsi="Times New Roman"/>
          <w:sz w:val="23"/>
        </w:rPr>
        <w:t>In the course of its working relationship with Enron, TVA has established a pattern of refusing to uphold its obligations and making a concerted effort to bar Enron from rightfully conducting business.  Specific examples are cited below.</w:t>
      </w:r>
    </w:p>
    <w:p>
      <w:pPr>
        <w:pStyle w:val="Normal"/>
        <w:rPr>
          <w:rFonts w:ascii="Times New Roman" w:hAnsi="Times New Roman" w:cs="Times New Roman"/>
          <w:sz w:val="23"/>
        </w:rPr>
      </w:pPr>
      <w:r>
        <w:rPr>
          <w:rFonts w:cs="Times New Roman" w:ascii="Times New Roman" w:hAnsi="Times New Roman"/>
          <w:sz w:val="23"/>
        </w:rPr>
      </w:r>
    </w:p>
    <w:p>
      <w:pPr>
        <w:pStyle w:val="BodyTextIndent"/>
        <w:rPr>
          <w:sz w:val="23"/>
        </w:rPr>
      </w:pPr>
      <w:r>
        <w:rPr>
          <w:sz w:val="23"/>
        </w:rPr>
        <w:t>April/May 1999 (?)</w:t>
        <w:tab/>
        <w:t>TVA states that Enron is not entitled to deliver power from the Brownsville facility to TVA to serve the energy purchase agreement between the two companies because Brownsville is not an approved delivery point.</w:t>
      </w:r>
    </w:p>
    <w:p>
      <w:pPr>
        <w:pStyle w:val="BodyTextIndent"/>
        <w:rPr>
          <w:sz w:val="23"/>
        </w:rPr>
      </w:pPr>
      <w:r>
        <w:rPr>
          <w:sz w:val="23"/>
        </w:rPr>
      </w:r>
    </w:p>
    <w:p>
      <w:pPr>
        <w:pStyle w:val="BodyTextIndent"/>
        <w:rPr>
          <w:sz w:val="23"/>
        </w:rPr>
      </w:pPr>
      <w:r>
        <w:rPr>
          <w:sz w:val="23"/>
        </w:rPr>
        <w:t>June 1, 1999</w:t>
        <w:tab/>
        <w:t>The Southeastern Electric Reliability Council (SERC) designates the Brownsville facility as a control area.</w:t>
      </w:r>
    </w:p>
    <w:p>
      <w:pPr>
        <w:pStyle w:val="BodyTextIndent"/>
        <w:rPr>
          <w:sz w:val="23"/>
        </w:rPr>
      </w:pPr>
      <w:r>
        <w:rPr>
          <w:sz w:val="23"/>
        </w:rPr>
      </w:r>
    </w:p>
    <w:p>
      <w:pPr>
        <w:pStyle w:val="BodyTextIndent"/>
        <w:rPr>
          <w:sz w:val="23"/>
        </w:rPr>
      </w:pPr>
      <w:r>
        <w:rPr>
          <w:sz w:val="23"/>
        </w:rPr>
        <w:t>June 22, 1999</w:t>
        <w:tab/>
        <w:t>TVA accepts delivery of power from Enron’s Brownsville facility.  TVA drastically reduces the available transfer capability (ATC) for the Brownsville/TVA control area interconnection point.  Improper posting and calculation of the ATC impedes Enron from its ability to enjoy benefits of control area via the sale, marketing, delivery and scheduling of power in and out of its control area, and significant market opportunities of 1999 peak electrical season.</w:t>
      </w:r>
    </w:p>
    <w:p>
      <w:pPr>
        <w:pStyle w:val="BodyTextIndent"/>
        <w:rPr>
          <w:sz w:val="23"/>
        </w:rPr>
      </w:pPr>
      <w:r>
        <w:rPr>
          <w:sz w:val="23"/>
        </w:rPr>
      </w:r>
    </w:p>
    <w:p>
      <w:pPr>
        <w:pStyle w:val="BodyTextIndent"/>
        <w:rPr>
          <w:sz w:val="23"/>
        </w:rPr>
      </w:pPr>
      <w:r>
        <w:rPr>
          <w:sz w:val="23"/>
        </w:rPr>
        <w:t>July 15, 1999</w:t>
        <w:tab/>
        <w:t>SERC designates the Caledonia and New Albany facilities as control areas.  TVA posts reduced ATC values for the Caledonia/TVA and New Albany/TVA control area interconnections.</w:t>
      </w:r>
    </w:p>
    <w:p>
      <w:pPr>
        <w:pStyle w:val="BodyTextIndent"/>
        <w:rPr>
          <w:sz w:val="23"/>
        </w:rPr>
      </w:pPr>
      <w:r>
        <w:rPr>
          <w:sz w:val="23"/>
        </w:rPr>
      </w:r>
    </w:p>
    <w:p>
      <w:pPr>
        <w:pStyle w:val="BodyTextIndent"/>
        <w:rPr>
          <w:sz w:val="23"/>
        </w:rPr>
      </w:pPr>
      <w:r>
        <w:rPr>
          <w:sz w:val="23"/>
        </w:rPr>
        <w:t>July 29, 1999</w:t>
        <w:tab/>
        <w:t>TVA declines Enron’s request to interconnect its proposed Calvert City project to TVA, stating that a new 30-mile 500kV transmission line would be required to maintain system reliability.  This contradicts all previous signs from TVA that there were no significant constraints at Calvert City.*</w:t>
      </w:r>
    </w:p>
    <w:p>
      <w:pPr>
        <w:pStyle w:val="BodyTextIndent"/>
        <w:rPr>
          <w:sz w:val="23"/>
        </w:rPr>
      </w:pPr>
      <w:r>
        <w:rPr>
          <w:sz w:val="23"/>
        </w:rPr>
      </w:r>
    </w:p>
    <w:p>
      <w:pPr>
        <w:pStyle w:val="BodyTextIndent"/>
        <w:rPr>
          <w:sz w:val="23"/>
        </w:rPr>
      </w:pPr>
      <w:r>
        <w:rPr>
          <w:sz w:val="23"/>
        </w:rPr>
        <w:t>August 1999</w:t>
        <w:tab/>
        <w:t>Although Enron disagrees with TVA’s assessment and its independent consultant’s report showed viability for interconnection at Calvert City, Enron shifts its development efforts to its Gleason, Tennessee project.</w:t>
      </w:r>
    </w:p>
    <w:p>
      <w:pPr>
        <w:pStyle w:val="BodyTextIndent"/>
        <w:rPr>
          <w:sz w:val="23"/>
        </w:rPr>
      </w:pPr>
      <w:r>
        <w:rPr>
          <w:sz w:val="23"/>
        </w:rPr>
      </w:r>
    </w:p>
    <w:p>
      <w:pPr>
        <w:pStyle w:val="BodyTextIndent"/>
        <w:rPr>
          <w:sz w:val="23"/>
        </w:rPr>
      </w:pPr>
      <w:r>
        <w:rPr>
          <w:sz w:val="23"/>
        </w:rPr>
        <w:t>October 26, 1999</w:t>
        <w:tab/>
        <w:t>The North American Electric Reliability Council (NERC) rules in Enron’s favor regarding the operation of its control area and the proper calculation and posting of ATC.</w:t>
      </w:r>
    </w:p>
    <w:p>
      <w:pPr>
        <w:pStyle w:val="BodyTextIndent"/>
        <w:rPr>
          <w:sz w:val="23"/>
        </w:rPr>
      </w:pPr>
      <w:r>
        <w:rPr>
          <w:sz w:val="23"/>
        </w:rPr>
      </w:r>
    </w:p>
    <w:p>
      <w:pPr>
        <w:pStyle w:val="BodyTextIndent"/>
        <w:rPr>
          <w:sz w:val="23"/>
        </w:rPr>
      </w:pPr>
      <w:r>
        <w:rPr>
          <w:sz w:val="23"/>
        </w:rPr>
        <w:t>December 10, 1999</w:t>
        <w:tab/>
        <w:t>After receiving a request from SERC to reconsider its October 26 interpretation, NERC restates its ruling in Enron’s favor.</w:t>
      </w:r>
    </w:p>
    <w:p>
      <w:pPr>
        <w:pStyle w:val="BodyTextIndent"/>
        <w:rPr>
          <w:sz w:val="23"/>
        </w:rPr>
      </w:pPr>
      <w:r>
        <w:rPr>
          <w:sz w:val="23"/>
        </w:rPr>
      </w:r>
    </w:p>
    <w:p>
      <w:pPr>
        <w:pStyle w:val="BodyTextIndent"/>
        <w:rPr>
          <w:i/>
          <w:i/>
          <w:sz w:val="23"/>
        </w:rPr>
      </w:pPr>
      <w:r>
        <w:rPr>
          <w:i/>
          <w:sz w:val="23"/>
        </w:rPr>
        <w:t>* Note:  Still need TVA cooperation to meet Gleason in-service date of June 1, 2000.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2000-01-05T14:40:00Z</dcterms:created>
  <dc:creator>smansfi</dc:creator>
  <dc:description/>
  <dc:language>en-CA</dc:language>
  <cp:lastModifiedBy>smansfi</cp:lastModifiedBy>
  <cp:lastPrinted>2000-01-07T14:52:00Z</cp:lastPrinted>
  <dcterms:modified xsi:type="dcterms:W3CDTF">2000-01-07T18:54:00Z</dcterms:modified>
  <cp:revision>5</cp:revision>
  <dc:subject/>
  <dc:title>TVA Dispute Timeline</dc:title>
</cp:coreProperties>
</file>