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Background for Meeting w/Craven Crowell/TVA</w:t>
      </w:r>
    </w:p>
    <w:p>
      <w:pPr>
        <w:pStyle w:val="BodyText"/>
        <w:rPr/>
      </w:pPr>
      <w:r>
        <w:rPr/>
      </w:r>
    </w:p>
    <w:p>
      <w:pPr>
        <w:pStyle w:val="Normal"/>
        <w:rPr>
          <w:sz w:val="24"/>
        </w:rPr>
      </w:pPr>
      <w:r>
        <w:rPr>
          <w:sz w:val="24"/>
        </w:rPr>
      </w:r>
    </w:p>
    <w:p>
      <w:pPr>
        <w:pStyle w:val="BodyText"/>
        <w:rPr/>
      </w:pPr>
      <w:r>
        <w:rPr/>
        <w:t xml:space="preserve">Enron signed a Master Power Agreement (MOPA) with TVA in late 1995.  The contract afforded TVA the option to purchase power from Enron pursuant to terms and conditions described in the contract.  The MOPA contract also sets the price for power delivered to TVA and requires EPMI to deliver energy to TVA at selected Permitted Delivery Points (PDP).  The PDPs are all interface points between TVA’s system and those of other interconnecting utilities.  During the execution of the MOPA, EPMI was often unable to deliver power to the PDP’s because of inadequate available transmission capability (ATC).  </w:t>
      </w:r>
    </w:p>
    <w:p>
      <w:pPr>
        <w:pStyle w:val="Normal"/>
        <w:rPr>
          <w:sz w:val="24"/>
        </w:rPr>
      </w:pPr>
      <w:r>
        <w:rPr>
          <w:sz w:val="24"/>
        </w:rPr>
      </w:r>
    </w:p>
    <w:p>
      <w:pPr>
        <w:pStyle w:val="BodyText"/>
        <w:rPr/>
      </w:pPr>
      <w:r>
        <w:rPr/>
        <w:t>EPMI contended (and still contends) that the MOPA allocated to TVA the risk of non-delivery as a result of insufficient ATC at the PDPs.  TVA claimed EPMI was breaching its obligations.  The legal dispute, which is currently pending and outlined below, ensued:</w:t>
      </w:r>
    </w:p>
    <w:p>
      <w:pPr>
        <w:pStyle w:val="Normal"/>
        <w:rPr>
          <w:sz w:val="24"/>
        </w:rPr>
      </w:pPr>
      <w:r>
        <w:rPr>
          <w:sz w:val="24"/>
        </w:rPr>
      </w:r>
    </w:p>
    <w:p>
      <w:pPr>
        <w:pStyle w:val="Normal"/>
        <w:autoSpaceDE w:val="false"/>
        <w:rPr>
          <w:i/>
          <w:i/>
          <w:iCs/>
          <w:color w:val="000000"/>
          <w:sz w:val="24"/>
          <w:u w:val="single"/>
        </w:rPr>
      </w:pPr>
      <w:r>
        <w:rPr>
          <w:i/>
          <w:iCs/>
          <w:color w:val="000000"/>
          <w:sz w:val="24"/>
          <w:u w:val="single"/>
        </w:rPr>
        <w:t>Enron Power Marketing, Inc. v. Tennessee Valley Authority</w:t>
      </w:r>
    </w:p>
    <w:p>
      <w:pPr>
        <w:pStyle w:val="Normal"/>
        <w:tabs>
          <w:tab w:val="clear" w:pos="720"/>
          <w:tab w:val="left" w:pos="540" w:leader="none"/>
        </w:tabs>
        <w:autoSpaceDE w:val="false"/>
        <w:jc w:val="both"/>
        <w:rPr>
          <w:color w:val="000000"/>
          <w:sz w:val="24"/>
        </w:rPr>
      </w:pPr>
      <w:r>
        <w:rPr>
          <w:color w:val="000000"/>
          <w:sz w:val="24"/>
        </w:rPr>
        <w:t xml:space="preserve">(Tennessee Federal District Court) </w:t>
      </w:r>
    </w:p>
    <w:p>
      <w:pPr>
        <w:pStyle w:val="BodyTextIndent"/>
        <w:spacing w:lineRule="auto" w:line="240"/>
        <w:rPr/>
      </w:pPr>
      <w:r>
        <w:rPr/>
        <w:t>·</w:t>
        <w:tab/>
        <w:t>EPMI filed a declaratory judgment action against TVA in Chattanooga, Tennessee, requesting that the court hold that EPMI can satisfy its delivery obligation to TVA by delivering energy to an inter-connecting utility.</w:t>
      </w:r>
    </w:p>
    <w:p>
      <w:pPr>
        <w:pStyle w:val="Normal"/>
        <w:tabs>
          <w:tab w:val="clear" w:pos="720"/>
          <w:tab w:val="left" w:pos="990" w:leader="none"/>
        </w:tabs>
        <w:autoSpaceDE w:val="false"/>
        <w:ind w:start="540" w:end="0"/>
        <w:rPr>
          <w:color w:val="000000"/>
          <w:sz w:val="24"/>
        </w:rPr>
      </w:pPr>
      <w:r>
        <w:rPr>
          <w:color w:val="000000"/>
          <w:sz w:val="24"/>
        </w:rPr>
        <w:t>·</w:t>
        <w:tab/>
        <w:t>On January 27, 2000, EPMI terminated the MOPA.</w:t>
      </w:r>
    </w:p>
    <w:p>
      <w:pPr>
        <w:pStyle w:val="BodyTextIndent"/>
        <w:spacing w:lineRule="auto" w:line="240"/>
        <w:rPr/>
      </w:pPr>
      <w:r>
        <w:rPr/>
        <w:t>·</w:t>
        <w:tab/>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EPMI’sability to act as a control area.</w:t>
      </w:r>
    </w:p>
    <w:p>
      <w:pPr>
        <w:pStyle w:val="Normal"/>
        <w:tabs>
          <w:tab w:val="clear" w:pos="720"/>
          <w:tab w:val="left" w:pos="990" w:leader="none"/>
        </w:tabs>
        <w:autoSpaceDE w:val="false"/>
        <w:ind w:hanging="450" w:start="990" w:end="0"/>
        <w:rPr>
          <w:color w:val="000000"/>
          <w:sz w:val="24"/>
        </w:rPr>
      </w:pPr>
      <w:r>
        <w:rPr>
          <w:color w:val="000000"/>
          <w:sz w:val="24"/>
        </w:rPr>
        <w:t>·</w:t>
        <w:tab/>
        <w:t>On March 5, TVA filed an answer and counterclaim.  In its counterclaim, TVA requested monetary damages and injunctive relief for EPMI’s breach of the MOPA.</w:t>
      </w:r>
    </w:p>
    <w:p>
      <w:pPr>
        <w:pStyle w:val="Normal"/>
        <w:tabs>
          <w:tab w:val="clear" w:pos="720"/>
          <w:tab w:val="left" w:pos="990" w:leader="none"/>
        </w:tabs>
        <w:autoSpaceDE w:val="false"/>
        <w:ind w:hanging="450" w:start="990" w:end="0"/>
        <w:rPr>
          <w:color w:val="000000"/>
          <w:sz w:val="24"/>
        </w:rPr>
      </w:pPr>
      <w:r>
        <w:rPr>
          <w:color w:val="000000"/>
          <w:sz w:val="24"/>
        </w:rPr>
        <w:t>·</w:t>
        <w:tab/>
        <w:t>Enron has sent extensive written discovery requests and will begin depositions in 6-8 weeks.</w:t>
      </w:r>
    </w:p>
    <w:p>
      <w:pPr>
        <w:pStyle w:val="BodyTextIndent"/>
        <w:spacing w:lineRule="auto" w:line="240"/>
        <w:rPr/>
      </w:pPr>
      <w:r>
        <w:rPr/>
        <w:t>·</w:t>
        <w:tab/>
        <w:t xml:space="preserve">The case is set for trial on October 12, 2001, but is likely to be postponed until the spring of 2002. </w:t>
      </w:r>
    </w:p>
    <w:p>
      <w:pPr>
        <w:pStyle w:val="Normal"/>
        <w:rPr>
          <w:sz w:val="24"/>
        </w:rPr>
      </w:pPr>
      <w:r>
        <w:rPr>
          <w:sz w:val="24"/>
        </w:rPr>
      </w:r>
    </w:p>
    <w:p>
      <w:pPr>
        <w:pStyle w:val="Normal"/>
        <w:rPr>
          <w:sz w:val="24"/>
        </w:rPr>
      </w:pPr>
      <w:r>
        <w:rPr>
          <w:sz w:val="24"/>
        </w:rPr>
        <w:t>Enron’s experience/relationships with TVA in the past few years have been productive only with respect to the fact that we have managed to agree on interconnection agreements regarding the peaking units in Tennessee and Mississippi (and these agreements have not been easily obtained).  Our relationship with TVA has otherwise been acrimonious and unproductive.   The MOPA lawsuit, the ancillary lawsuit regarding the control area issue and an unresolved disagreement over a Calvert City, Kentucky site interconnection are more illustrative of the current state of our relationship.  Enron has also opposed TVA on various policy and funding issues on Capitol Hill during the last 24 months.</w:t>
      </w:r>
    </w:p>
    <w:p>
      <w:pPr>
        <w:pStyle w:val="Normal"/>
        <w:rPr>
          <w:sz w:val="24"/>
        </w:rPr>
      </w:pPr>
      <w:r>
        <w:rPr>
          <w:sz w:val="24"/>
        </w:rPr>
      </w:r>
    </w:p>
    <w:p>
      <w:pPr>
        <w:pStyle w:val="Normal"/>
        <w:rPr>
          <w:sz w:val="24"/>
        </w:rPr>
      </w:pPr>
      <w:r>
        <w:rPr>
          <w:sz w:val="24"/>
        </w:rPr>
        <w:t xml:space="preserve">As a result of this recent history with TVA, we have no productive relationships with senior TVA management and/or board members.  This has made the prospect of approaching TVA to </w:t>
      </w:r>
    </w:p>
    <w:p>
      <w:pPr>
        <w:pStyle w:val="Normal"/>
        <w:rPr>
          <w:sz w:val="24"/>
        </w:rPr>
      </w:pPr>
      <w:r>
        <w:rPr>
          <w:sz w:val="24"/>
        </w:rPr>
        <w:t>work with them to settle the MOPA lawsuit extremely challenging.  Given the lack of mutual trust that has resulted from the lawsuits and our other difficulties with TVA, we currently lack the foundation needed on which to build a mutually productive relationship.</w:t>
      </w:r>
    </w:p>
    <w:p>
      <w:pPr>
        <w:pStyle w:val="Normal"/>
        <w:rPr>
          <w:sz w:val="24"/>
        </w:rPr>
      </w:pPr>
      <w:r>
        <w:rPr>
          <w:sz w:val="24"/>
        </w:rPr>
      </w:r>
    </w:p>
    <w:p>
      <w:pPr>
        <w:pStyle w:val="Normal"/>
        <w:rPr>
          <w:sz w:val="24"/>
        </w:rPr>
      </w:pPr>
      <w:r>
        <w:rPr>
          <w:sz w:val="24"/>
        </w:rPr>
        <w:t xml:space="preserve">Ben Jacoby, Director, Wholesale Origination, through his work on developing power plants in the TVA region, established a relationship with a gentleman by the name of Johnny Hayes a few years back.  Johnny lives in Nashville and is a former TVA board member.  Prior to that, he was a cabinet officer for the Governor of Tennessee (various posts including Department of Economic and Community Development).   He is also a close friend of Craven Crowell’s, the chairman of TVA’s board and is currently Finance Chair of the Gore 200 campaign.  There is much speculation that Johnny Hayes will either be appointed to the TVA chair position or will hold a significant post in Gore’s administration if Vice President Gore is elected President.   Johnny recommended to Ben that if Enron were ever looking for a lawyer/consultant to assist with TVA issues, that we consider Charles Bone of the law firm of Wyatt, Tarrant &amp; Combs in Nashville. (Mr. Hayes has always considered himself conflicted out on TVA issues, although he is assisting us on other matters, as noted later).  Ben, through his relationship with Johnny Hayes, also got to know Charles Bone and referred him to Richard Sanders in Enron’s legal department.  Richard interviewed Charles Bone for the MOPA litigation work.  Richard was very impressed with Charles Bone, but did not hire the firm. </w:t>
      </w:r>
    </w:p>
    <w:p>
      <w:pPr>
        <w:pStyle w:val="Normal"/>
        <w:rPr>
          <w:sz w:val="24"/>
        </w:rPr>
      </w:pPr>
      <w:r>
        <w:rPr>
          <w:sz w:val="24"/>
        </w:rPr>
      </w:r>
    </w:p>
    <w:p>
      <w:pPr>
        <w:pStyle w:val="Normal"/>
        <w:rPr>
          <w:sz w:val="24"/>
        </w:rPr>
      </w:pPr>
      <w:r>
        <w:rPr>
          <w:sz w:val="24"/>
        </w:rPr>
      </w:r>
    </w:p>
    <w:p>
      <w:pPr>
        <w:pStyle w:val="Normal"/>
        <w:rPr>
          <w:sz w:val="24"/>
        </w:rPr>
      </w:pPr>
      <w:r>
        <w:rPr>
          <w:sz w:val="24"/>
        </w:rPr>
        <w:t xml:space="preserve">Charles Bone is the partner in charge of the Wyatt, Tarrant, &amp; Combs law firm in Nashville. He is an attorney in the firm’s entrepreneurial law department and generally does mergers and acquisitions.  He is one of Johnny Hayes’ closest friends and through that relationship has worked very closely with Craven Crowell and Vice President Gore over the years.  </w:t>
      </w:r>
    </w:p>
    <w:p>
      <w:pPr>
        <w:pStyle w:val="Normal"/>
        <w:rPr>
          <w:sz w:val="24"/>
        </w:rPr>
      </w:pPr>
      <w:r>
        <w:rPr>
          <w:sz w:val="24"/>
        </w:rPr>
      </w:r>
    </w:p>
    <w:p>
      <w:pPr>
        <w:pStyle w:val="Normal"/>
        <w:rPr>
          <w:sz w:val="24"/>
        </w:rPr>
      </w:pPr>
      <w:r>
        <w:rPr>
          <w:sz w:val="24"/>
        </w:rPr>
        <w:t>Over time, we have grown even more concerned that the lack of a relationship with TVA could prevent or slow down any efforts we might want to make in settling the lawsuit(s).  With that in mind, Barbara Hueter and I met with Charles Bone to talk with him about our relationship with TVA and our desire to improve it.  We then brought Charles Bone to Houston to meet with Dave Delainey and Richard Sanders to discuss the pending lawsuits.  We have since retained Charles Bone for the purpose of advising us on how to proceed with building the necessary relationship with TVA to foster any settlement and/or commercial opportunities with TVA.</w:t>
      </w:r>
    </w:p>
    <w:p>
      <w:pPr>
        <w:pStyle w:val="Normal"/>
        <w:rPr>
          <w:sz w:val="24"/>
        </w:rPr>
      </w:pPr>
      <w:r>
        <w:rPr>
          <w:sz w:val="24"/>
        </w:rPr>
      </w:r>
    </w:p>
    <w:p>
      <w:pPr>
        <w:pStyle w:val="Normal"/>
        <w:rPr>
          <w:sz w:val="24"/>
        </w:rPr>
      </w:pPr>
      <w:r>
        <w:rPr>
          <w:sz w:val="24"/>
        </w:rPr>
        <w:t xml:space="preserve">Charles Bone and Johnny Hayes are also now working with us on energy policy issues at the national level due to their close relationships with Vice President Gore and Commissioner Linda Breathitt. </w:t>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90" w:leader="none"/>
      </w:tabs>
      <w:autoSpaceDE w:val="false"/>
      <w:spacing w:lineRule="atLeast" w:line="240"/>
      <w:ind w:hanging="450" w:start="990" w:end="0"/>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2000-08-25T10:58:00Z</dcterms:created>
  <dc:creator>Barbara A. Hueter</dc:creator>
  <dc:description/>
  <dc:language>en-CA</dc:language>
  <cp:lastModifiedBy>gdernehl</cp:lastModifiedBy>
  <cp:lastPrinted>2000-08-25T17:04:00Z</cp:lastPrinted>
  <dcterms:modified xsi:type="dcterms:W3CDTF">2000-08-25T19:38:00Z</dcterms:modified>
  <cp:revision>72</cp:revision>
  <dc:subject/>
  <dc:title>Late last year, EPMI filed for a Declaratory Judgement Action in U</dc:title>
</cp:coreProperties>
</file>