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1880235</wp:posOffset>
                </wp:positionH>
                <wp:positionV relativeFrom="paragraph">
                  <wp:posOffset>2540</wp:posOffset>
                </wp:positionV>
                <wp:extent cx="1828800" cy="800100"/>
                <wp:effectExtent l="0" t="0" r="0" b="0"/>
                <wp:wrapNone/>
                <wp:docPr id="2" name="Frame1"/>
                <a:graphic xmlns:a="http://schemas.openxmlformats.org/drawingml/2006/main">
                  <a:graphicData uri="http://schemas.microsoft.com/office/word/2010/wordprocessingShape">
                    <wps:wsp>
                      <wps:cNvSpPr txBox="1"/>
                      <wps:spPr>
                        <a:xfrm>
                          <a:off x="0" y="0"/>
                          <a:ext cx="1828800" cy="800100"/>
                        </a:xfrm>
                        <a:prstGeom prst="rect"/>
                        <a:solidFill>
                          <a:srgbClr val="FFFFFF">
                            <a:alpha val="0"/>
                          </a:srgbClr>
                        </a:solidFill>
                      </wps:spPr>
                      <wps:txbx>
                        <w:txbxContent>
                          <w:p>
                            <w:pPr>
                              <w:pStyle w:val="Normal"/>
                              <w:jc w:val="center"/>
                              <w:rPr>
                                <w:b/>
                                <w:bCs/>
                                <w:smallCaps/>
                                <w:sz w:val="48"/>
                              </w:rPr>
                            </w:pPr>
                            <w:r>
                              <w:rPr>
                                <w:b/>
                                <w:bCs/>
                                <w:smallCaps/>
                                <w:sz w:val="48"/>
                              </w:rPr>
                              <w:t>Draft</w:t>
                            </w:r>
                          </w:p>
                        </w:txbxContent>
                      </wps:txbx>
                      <wps:bodyPr anchor="t" lIns="92075" tIns="46355" rIns="92075" bIns="46355">
                        <a:noAutofit/>
                      </wps:bodyPr>
                    </wps:wsp>
                  </a:graphicData>
                </a:graphic>
              </wp:anchor>
            </w:drawing>
          </mc:Choice>
          <mc:Fallback>
            <w:pict>
              <v:rect fillcolor="#FFFFFF" style="position:absolute;rotation:-0;width:144pt;height:63pt;mso-wrap-distance-left:9.05pt;mso-wrap-distance-right:9.05pt;mso-wrap-distance-top:0pt;mso-wrap-distance-bottom:0pt;margin-top:0.2pt;mso-position-vertical-relative:text;margin-left:148.05pt;mso-position-horizontal-relative:text">
                <v:fill opacity="0f"/>
                <v:textbox inset="0.100694444444444in,0.0506944444444444in,0.100694444444444in,0.0506944444444444in">
                  <w:txbxContent>
                    <w:p>
                      <w:pPr>
                        <w:pStyle w:val="Normal"/>
                        <w:jc w:val="center"/>
                        <w:rPr>
                          <w:b/>
                          <w:bCs/>
                          <w:smallCaps/>
                          <w:sz w:val="48"/>
                        </w:rPr>
                      </w:pPr>
                      <w:r>
                        <w:rPr>
                          <w:b/>
                          <w:bCs/>
                          <w:smallCaps/>
                          <w:sz w:val="48"/>
                        </w:rPr>
                        <w:t>Draft</w:t>
                      </w:r>
                    </w:p>
                  </w:txbxContent>
                </v:textbox>
                <w10:wrap type="none"/>
              </v:rect>
            </w:pict>
          </mc:Fallback>
        </mc:AlternateContent>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240" w:hRule="exact"/>
        </w:trPr>
        <w:tc>
          <w:tcPr>
            <w:tcW w:w="708" w:type="dxa"/>
            <w:tcBorders/>
          </w:tcPr>
          <w:p>
            <w:pPr>
              <w:pStyle w:val="Normal"/>
              <w:ind w:start="-110" w:end="0"/>
              <w:jc w:val="end"/>
              <w:rPr>
                <w:sz w:val="16"/>
              </w:rPr>
            </w:pPr>
            <w:r>
              <w:rPr>
                <w:sz w:val="16"/>
              </w:rPr>
              <w:t>To:</w:t>
            </w:r>
          </w:p>
        </w:tc>
        <w:tc>
          <w:tcPr>
            <w:tcW w:w="6045" w:type="dxa"/>
            <w:tcBorders/>
          </w:tcPr>
          <w:p>
            <w:pPr>
              <w:pStyle w:val="To"/>
              <w:ind w:start="-110" w:end="0"/>
              <w:rPr/>
            </w:pPr>
            <w:r>
              <w:rPr/>
              <w:t>Dave Delainey</w:t>
            </w:r>
          </w:p>
        </w:tc>
        <w:tc>
          <w:tcPr>
            <w:tcW w:w="3955" w:type="dxa"/>
            <w:gridSpan w:val="2"/>
            <w:tcBorders/>
          </w:tcPr>
          <w:p>
            <w:pPr>
              <w:pStyle w:val="Normal"/>
              <w:ind w:start="-110" w:end="0"/>
              <w:rPr>
                <w:b/>
                <w:smallCaps/>
              </w:rPr>
            </w:pPr>
            <w:r>
              <w:rPr>
                <w:b/>
                <w:smallCaps/>
              </w:rPr>
              <w:t xml:space="preserve">Privileged and Confidential; </w:t>
            </w:r>
          </w:p>
        </w:tc>
      </w:tr>
      <w:tr>
        <w:trPr>
          <w:trHeight w:val="240" w:hRule="exact"/>
        </w:trPr>
        <w:tc>
          <w:tcPr>
            <w:tcW w:w="708" w:type="dxa"/>
            <w:tcBorders/>
          </w:tcPr>
          <w:p>
            <w:pPr>
              <w:pStyle w:val="Normal"/>
              <w:snapToGrid w:val="false"/>
              <w:ind w:start="-110" w:end="0"/>
              <w:jc w:val="end"/>
              <w:rPr>
                <w:b/>
                <w:smallCaps/>
                <w:sz w:val="16"/>
              </w:rPr>
            </w:pPr>
            <w:r>
              <w:rPr>
                <w:b/>
                <w:smallCaps/>
                <w:sz w:val="16"/>
              </w:rPr>
            </w:r>
          </w:p>
        </w:tc>
        <w:tc>
          <w:tcPr>
            <w:tcW w:w="6045" w:type="dxa"/>
            <w:tcBorders/>
          </w:tcPr>
          <w:p>
            <w:pPr>
              <w:pStyle w:val="To"/>
              <w:ind w:start="-110" w:end="0"/>
              <w:rPr/>
            </w:pPr>
            <w:r>
              <w:rPr/>
              <w:t>John Lavorato</w:t>
            </w:r>
          </w:p>
        </w:tc>
        <w:tc>
          <w:tcPr>
            <w:tcW w:w="3955" w:type="dxa"/>
            <w:gridSpan w:val="2"/>
            <w:tcBorders/>
          </w:tcPr>
          <w:p>
            <w:pPr>
              <w:pStyle w:val="Normal"/>
              <w:ind w:start="-110" w:end="0"/>
              <w:rPr>
                <w:b/>
                <w:smallCaps/>
              </w:rPr>
            </w:pPr>
            <w:r>
              <w:rPr>
                <w:b/>
                <w:smallCaps/>
              </w:rPr>
              <w:t xml:space="preserve">Attorney Client Work Product; </w:t>
            </w:r>
          </w:p>
        </w:tc>
      </w:tr>
      <w:tr>
        <w:trPr>
          <w:trHeight w:val="240" w:hRule="exact"/>
        </w:trPr>
        <w:tc>
          <w:tcPr>
            <w:tcW w:w="708" w:type="dxa"/>
            <w:tcBorders/>
          </w:tcPr>
          <w:p>
            <w:pPr>
              <w:pStyle w:val="Normal"/>
              <w:snapToGrid w:val="false"/>
              <w:ind w:start="-110" w:end="0"/>
              <w:jc w:val="end"/>
              <w:rPr>
                <w:b/>
                <w:smallCaps/>
                <w:sz w:val="16"/>
              </w:rPr>
            </w:pPr>
            <w:r>
              <w:rPr>
                <w:b/>
                <w:smallCaps/>
                <w:sz w:val="16"/>
              </w:rPr>
            </w:r>
          </w:p>
        </w:tc>
        <w:tc>
          <w:tcPr>
            <w:tcW w:w="6045" w:type="dxa"/>
            <w:tcBorders/>
          </w:tcPr>
          <w:p>
            <w:pPr>
              <w:pStyle w:val="To"/>
              <w:snapToGrid w:val="false"/>
              <w:ind w:start="-110" w:end="0"/>
              <w:rPr>
                <w:sz w:val="16"/>
              </w:rPr>
            </w:pPr>
            <w:r>
              <w:rPr>
                <w:sz w:val="16"/>
              </w:rPr>
            </w:r>
          </w:p>
        </w:tc>
        <w:tc>
          <w:tcPr>
            <w:tcW w:w="3955" w:type="dxa"/>
            <w:gridSpan w:val="2"/>
            <w:tcBorders/>
          </w:tcPr>
          <w:p>
            <w:pPr>
              <w:pStyle w:val="Normal"/>
              <w:ind w:start="-110" w:end="0"/>
              <w:rPr>
                <w:b/>
                <w:smallCaps/>
              </w:rPr>
            </w:pPr>
            <w:r>
              <w:rPr>
                <w:b/>
                <w:smallCaps/>
              </w:rPr>
              <w:t>Not Discoverable</w:t>
            </w:r>
          </w:p>
        </w:tc>
      </w:tr>
      <w:tr>
        <w:trPr>
          <w:trHeight w:val="240" w:hRule="exact"/>
        </w:trPr>
        <w:tc>
          <w:tcPr>
            <w:tcW w:w="708" w:type="dxa"/>
            <w:tcBorders/>
          </w:tcPr>
          <w:p>
            <w:pPr>
              <w:pStyle w:val="Normal"/>
              <w:ind w:start="-110" w:end="0"/>
              <w:jc w:val="end"/>
              <w:rPr>
                <w:sz w:val="16"/>
              </w:rPr>
            </w:pPr>
            <w:r>
              <w:rPr>
                <w:sz w:val="16"/>
              </w:rPr>
              <w:t>From:</w:t>
            </w:r>
          </w:p>
        </w:tc>
        <w:tc>
          <w:tcPr>
            <w:tcW w:w="6045" w:type="dxa"/>
            <w:tcBorders/>
          </w:tcPr>
          <w:p>
            <w:pPr>
              <w:pStyle w:val="From"/>
              <w:ind w:start="-110" w:end="0"/>
              <w:rPr/>
            </w:pPr>
            <w:r>
              <w:rPr/>
              <w:t>Elizabeth Sager</w:t>
            </w:r>
          </w:p>
        </w:tc>
        <w:tc>
          <w:tcPr>
            <w:tcW w:w="990" w:type="dxa"/>
            <w:tcBorders/>
          </w:tcPr>
          <w:p>
            <w:pPr>
              <w:pStyle w:val="Normal"/>
              <w:snapToGrid w:val="false"/>
              <w:ind w:start="-110" w:end="0"/>
              <w:rPr/>
            </w:pPr>
            <w:r>
              <w:rPr/>
            </w:r>
          </w:p>
        </w:tc>
        <w:tc>
          <w:tcPr>
            <w:tcW w:w="2965" w:type="dxa"/>
            <w:tcBorders/>
          </w:tcPr>
          <w:p>
            <w:pPr>
              <w:pStyle w:val="Normal"/>
              <w:snapToGrid w:val="false"/>
              <w:ind w:start="-110" w:end="0"/>
              <w:rPr/>
            </w:pPr>
            <w:r>
              <w:rPr/>
            </w:r>
          </w:p>
        </w:tc>
      </w:tr>
      <w:tr>
        <w:trPr>
          <w:trHeight w:val="240" w:hRule="exact"/>
        </w:trPr>
        <w:tc>
          <w:tcPr>
            <w:tcW w:w="708" w:type="dxa"/>
            <w:tcBorders/>
          </w:tcPr>
          <w:p>
            <w:pPr>
              <w:pStyle w:val="Normal"/>
              <w:snapToGrid w:val="false"/>
              <w:ind w:start="-110" w:end="0"/>
              <w:jc w:val="end"/>
              <w:rPr>
                <w:sz w:val="16"/>
              </w:rPr>
            </w:pPr>
            <w:r>
              <w:rPr>
                <w:sz w:val="16"/>
              </w:rPr>
            </w:r>
          </w:p>
        </w:tc>
        <w:tc>
          <w:tcPr>
            <w:tcW w:w="6045" w:type="dxa"/>
            <w:tcBorders/>
          </w:tcPr>
          <w:p>
            <w:pPr>
              <w:pStyle w:val="Normal"/>
              <w:snapToGrid w:val="false"/>
              <w:ind w:start="-110" w:end="0"/>
              <w:rPr>
                <w:sz w:val="18"/>
              </w:rPr>
            </w:pPr>
            <w:r>
              <w:rPr>
                <w:sz w:val="18"/>
              </w:rPr>
            </w:r>
          </w:p>
        </w:tc>
        <w:tc>
          <w:tcPr>
            <w:tcW w:w="990" w:type="dxa"/>
            <w:tcBorders/>
          </w:tcPr>
          <w:p>
            <w:pPr>
              <w:pStyle w:val="Normal"/>
              <w:snapToGrid w:val="false"/>
              <w:ind w:start="-110" w:end="0"/>
              <w:rPr>
                <w:sz w:val="18"/>
              </w:rPr>
            </w:pPr>
            <w:r>
              <w:rPr>
                <w:sz w:val="18"/>
              </w:rPr>
            </w:r>
          </w:p>
        </w:tc>
        <w:tc>
          <w:tcPr>
            <w:tcW w:w="2965" w:type="dxa"/>
            <w:tcBorders/>
          </w:tcPr>
          <w:p>
            <w:pPr>
              <w:pStyle w:val="Normal"/>
              <w:snapToGrid w:val="false"/>
              <w:ind w:start="-110" w:end="0"/>
              <w:rPr/>
            </w:pPr>
            <w:r>
              <w:rPr/>
            </w:r>
          </w:p>
        </w:tc>
      </w:tr>
      <w:tr>
        <w:trPr>
          <w:trHeight w:val="300" w:hRule="exact"/>
        </w:trPr>
        <w:tc>
          <w:tcPr>
            <w:tcW w:w="708" w:type="dxa"/>
            <w:tcBorders/>
          </w:tcPr>
          <w:p>
            <w:pPr>
              <w:pStyle w:val="Normal"/>
              <w:ind w:start="-110" w:end="0"/>
              <w:jc w:val="end"/>
              <w:rPr>
                <w:sz w:val="16"/>
              </w:rPr>
            </w:pPr>
            <w:r>
              <w:rPr>
                <w:sz w:val="16"/>
              </w:rPr>
              <w:t>Subject:</w:t>
            </w:r>
          </w:p>
        </w:tc>
        <w:tc>
          <w:tcPr>
            <w:tcW w:w="6045" w:type="dxa"/>
            <w:tcBorders/>
          </w:tcPr>
          <w:p>
            <w:pPr>
              <w:pStyle w:val="Subject"/>
              <w:ind w:start="-110" w:end="0"/>
              <w:rPr/>
            </w:pPr>
            <w:r>
              <w:rPr/>
              <w:t>TVA MOPA Damages</w:t>
            </w:r>
          </w:p>
        </w:tc>
        <w:tc>
          <w:tcPr>
            <w:tcW w:w="990" w:type="dxa"/>
            <w:tcBorders/>
          </w:tcPr>
          <w:p>
            <w:pPr>
              <w:pStyle w:val="Normal"/>
              <w:ind w:start="-110" w:end="0"/>
              <w:jc w:val="end"/>
              <w:rPr>
                <w:sz w:val="16"/>
              </w:rPr>
            </w:pPr>
            <w:r>
              <w:rPr>
                <w:sz w:val="16"/>
              </w:rPr>
              <w:t>Department:</w:t>
            </w:r>
          </w:p>
        </w:tc>
        <w:tc>
          <w:tcPr>
            <w:tcW w:w="2965" w:type="dxa"/>
            <w:tcBorders/>
          </w:tcPr>
          <w:p>
            <w:pPr>
              <w:pStyle w:val="Department"/>
              <w:ind w:start="-110" w:end="0"/>
              <w:rPr/>
            </w:pPr>
            <w:bookmarkStart w:id="0" w:name="From"/>
            <w:bookmarkEnd w:id="0"/>
            <w:r>
              <w:rPr/>
              <w:t>ECT Legal</w:t>
            </w:r>
          </w:p>
          <w:p>
            <w:pPr>
              <w:pStyle w:val="Department"/>
              <w:ind w:start="-110" w:end="0"/>
              <w:rPr/>
            </w:pPr>
            <w:r>
              <w:rPr/>
            </w:r>
          </w:p>
        </w:tc>
      </w:tr>
      <w:tr>
        <w:trPr>
          <w:trHeight w:val="216" w:hRule="exact"/>
        </w:trPr>
        <w:tc>
          <w:tcPr>
            <w:tcW w:w="708" w:type="dxa"/>
            <w:tcBorders/>
          </w:tcPr>
          <w:p>
            <w:pPr>
              <w:pStyle w:val="Normal"/>
              <w:snapToGrid w:val="false"/>
              <w:ind w:start="-110" w:end="0"/>
              <w:jc w:val="end"/>
              <w:rPr>
                <w:sz w:val="18"/>
              </w:rPr>
            </w:pPr>
            <w:r>
              <w:rPr>
                <w:sz w:val="18"/>
              </w:rPr>
            </w:r>
          </w:p>
        </w:tc>
        <w:tc>
          <w:tcPr>
            <w:tcW w:w="6045" w:type="dxa"/>
            <w:tcBorders/>
          </w:tcPr>
          <w:p>
            <w:pPr>
              <w:pStyle w:val="Normal"/>
              <w:snapToGrid w:val="false"/>
              <w:ind w:start="-110" w:end="0"/>
              <w:rPr>
                <w:sz w:val="18"/>
              </w:rPr>
            </w:pPr>
            <w:r>
              <w:rPr>
                <w:sz w:val="18"/>
              </w:rPr>
            </w:r>
          </w:p>
        </w:tc>
        <w:tc>
          <w:tcPr>
            <w:tcW w:w="990" w:type="dxa"/>
            <w:tcBorders/>
          </w:tcPr>
          <w:p>
            <w:pPr>
              <w:pStyle w:val="Normal"/>
              <w:snapToGrid w:val="false"/>
              <w:ind w:start="-110" w:end="0"/>
              <w:rPr>
                <w:sz w:val="18"/>
              </w:rPr>
            </w:pPr>
            <w:r>
              <w:rPr>
                <w:sz w:val="18"/>
              </w:rPr>
            </w:r>
          </w:p>
        </w:tc>
        <w:tc>
          <w:tcPr>
            <w:tcW w:w="2965" w:type="dxa"/>
            <w:tcBorders/>
          </w:tcPr>
          <w:p>
            <w:pPr>
              <w:pStyle w:val="Normal"/>
              <w:snapToGrid w:val="false"/>
              <w:ind w:start="-110" w:end="0"/>
              <w:rPr>
                <w:sz w:val="18"/>
              </w:rPr>
            </w:pPr>
            <w:r>
              <w:rPr>
                <w:sz w:val="18"/>
              </w:rPr>
            </w:r>
          </w:p>
        </w:tc>
      </w:tr>
      <w:tr>
        <w:trPr/>
        <w:tc>
          <w:tcPr>
            <w:tcW w:w="708" w:type="dxa"/>
            <w:tcBorders/>
          </w:tcPr>
          <w:p>
            <w:pPr>
              <w:pStyle w:val="Normal"/>
              <w:ind w:start="-110" w:end="0"/>
              <w:jc w:val="end"/>
              <w:rPr>
                <w:sz w:val="16"/>
              </w:rPr>
            </w:pPr>
            <w:r>
              <w:rPr>
                <w:sz w:val="16"/>
              </w:rPr>
              <w:t>CC:</w:t>
            </w:r>
          </w:p>
        </w:tc>
        <w:tc>
          <w:tcPr>
            <w:tcW w:w="6045" w:type="dxa"/>
            <w:tcBorders/>
          </w:tcPr>
          <w:p>
            <w:pPr>
              <w:pStyle w:val="Subject"/>
              <w:ind w:start="-110" w:end="0"/>
              <w:rPr/>
            </w:pPr>
            <w:r>
              <w:rPr/>
              <w:t>Mark Haedicke</w:t>
            </w:r>
          </w:p>
        </w:tc>
        <w:tc>
          <w:tcPr>
            <w:tcW w:w="990" w:type="dxa"/>
            <w:tcBorders/>
          </w:tcPr>
          <w:p>
            <w:pPr>
              <w:pStyle w:val="Normal"/>
              <w:ind w:start="-110" w:end="0"/>
              <w:jc w:val="end"/>
              <w:rPr>
                <w:sz w:val="16"/>
              </w:rPr>
            </w:pPr>
            <w:r>
              <w:rPr>
                <w:sz w:val="16"/>
              </w:rPr>
              <w:t>Date:</w:t>
            </w:r>
          </w:p>
        </w:tc>
        <w:tc>
          <w:tcPr>
            <w:tcW w:w="2965" w:type="dxa"/>
            <w:tcBorders/>
          </w:tcPr>
          <w:p>
            <w:pPr>
              <w:pStyle w:val="Date"/>
              <w:ind w:start="-110" w:end="0"/>
              <w:rPr/>
            </w:pPr>
            <w:r>
              <w:rPr/>
              <w:fldChar w:fldCharType="begin"/>
            </w:r>
            <w:r>
              <w:rPr/>
              <w:instrText xml:space="preserve"> DATE \@"MMMM\ d', 'yyyy" </w:instrText>
            </w:r>
            <w:r>
              <w:rPr/>
              <w:fldChar w:fldCharType="separate"/>
            </w:r>
            <w:r>
              <w:rPr/>
              <w:t>September 28, 2025</w:t>
            </w:r>
            <w:r>
              <w:rPr/>
              <w:fldChar w:fldCharType="end"/>
            </w:r>
          </w:p>
        </w:tc>
      </w:tr>
      <w:tr>
        <w:trPr/>
        <w:tc>
          <w:tcPr>
            <w:tcW w:w="708" w:type="dxa"/>
            <w:tcBorders/>
          </w:tcPr>
          <w:p>
            <w:pPr>
              <w:pStyle w:val="Normal"/>
              <w:snapToGrid w:val="false"/>
              <w:ind w:start="-110" w:end="0"/>
              <w:jc w:val="end"/>
              <w:rPr>
                <w:sz w:val="16"/>
              </w:rPr>
            </w:pPr>
            <w:r>
              <w:rPr>
                <w:sz w:val="16"/>
              </w:rPr>
            </w:r>
          </w:p>
        </w:tc>
        <w:tc>
          <w:tcPr>
            <w:tcW w:w="6045" w:type="dxa"/>
            <w:tcBorders/>
          </w:tcPr>
          <w:p>
            <w:pPr>
              <w:pStyle w:val="Subject"/>
              <w:ind w:start="-110" w:end="0"/>
              <w:rPr/>
            </w:pPr>
            <w:r>
              <w:rPr/>
              <w:t>Rodgers Herndon</w:t>
            </w:r>
          </w:p>
        </w:tc>
        <w:tc>
          <w:tcPr>
            <w:tcW w:w="990" w:type="dxa"/>
            <w:tcBorders/>
          </w:tcPr>
          <w:p>
            <w:pPr>
              <w:pStyle w:val="Normal"/>
              <w:snapToGrid w:val="false"/>
              <w:ind w:start="-110" w:end="0"/>
              <w:jc w:val="end"/>
              <w:rPr>
                <w:sz w:val="16"/>
              </w:rPr>
            </w:pPr>
            <w:r>
              <w:rPr>
                <w:sz w:val="16"/>
              </w:rPr>
            </w:r>
          </w:p>
        </w:tc>
        <w:tc>
          <w:tcPr>
            <w:tcW w:w="2965" w:type="dxa"/>
            <w:tcBorders/>
          </w:tcPr>
          <w:p>
            <w:pPr>
              <w:pStyle w:val="Date"/>
              <w:snapToGrid w:val="false"/>
              <w:ind w:start="-110" w:end="0"/>
              <w:rPr>
                <w:sz w:val="16"/>
              </w:rPr>
            </w:pPr>
            <w:r>
              <w:rPr>
                <w:sz w:val="16"/>
              </w:rPr>
            </w:r>
          </w:p>
        </w:tc>
      </w:tr>
      <w:tr>
        <w:trPr/>
        <w:tc>
          <w:tcPr>
            <w:tcW w:w="708" w:type="dxa"/>
            <w:tcBorders/>
          </w:tcPr>
          <w:p>
            <w:pPr>
              <w:pStyle w:val="Normal"/>
              <w:snapToGrid w:val="false"/>
              <w:ind w:start="-110" w:end="0"/>
              <w:jc w:val="end"/>
              <w:rPr>
                <w:sz w:val="16"/>
              </w:rPr>
            </w:pPr>
            <w:r>
              <w:rPr>
                <w:sz w:val="16"/>
              </w:rPr>
            </w:r>
          </w:p>
        </w:tc>
        <w:tc>
          <w:tcPr>
            <w:tcW w:w="6045" w:type="dxa"/>
            <w:tcBorders/>
          </w:tcPr>
          <w:p>
            <w:pPr>
              <w:pStyle w:val="Subject"/>
              <w:ind w:start="-110" w:end="0"/>
              <w:rPr/>
            </w:pPr>
            <w:r>
              <w:rPr/>
              <w:t>Bob Madden</w:t>
            </w:r>
          </w:p>
        </w:tc>
        <w:tc>
          <w:tcPr>
            <w:tcW w:w="990" w:type="dxa"/>
            <w:tcBorders/>
          </w:tcPr>
          <w:p>
            <w:pPr>
              <w:pStyle w:val="Normal"/>
              <w:snapToGrid w:val="false"/>
              <w:ind w:start="-110" w:end="0"/>
              <w:jc w:val="end"/>
              <w:rPr>
                <w:sz w:val="16"/>
              </w:rPr>
            </w:pPr>
            <w:r>
              <w:rPr>
                <w:sz w:val="16"/>
              </w:rPr>
            </w:r>
          </w:p>
        </w:tc>
        <w:tc>
          <w:tcPr>
            <w:tcW w:w="2965" w:type="dxa"/>
            <w:tcBorders/>
          </w:tcPr>
          <w:p>
            <w:pPr>
              <w:pStyle w:val="Date"/>
              <w:snapToGrid w:val="false"/>
              <w:ind w:start="-110" w:end="0"/>
              <w:rPr>
                <w:sz w:val="16"/>
              </w:rPr>
            </w:pPr>
            <w:r>
              <w:rPr>
                <w:sz w:val="16"/>
              </w:rPr>
            </w:r>
          </w:p>
        </w:tc>
      </w:tr>
      <w:tr>
        <w:trPr/>
        <w:tc>
          <w:tcPr>
            <w:tcW w:w="708" w:type="dxa"/>
            <w:tcBorders/>
          </w:tcPr>
          <w:p>
            <w:pPr>
              <w:pStyle w:val="Normal"/>
              <w:snapToGrid w:val="false"/>
              <w:ind w:start="-110" w:end="0"/>
              <w:jc w:val="end"/>
              <w:rPr>
                <w:sz w:val="16"/>
              </w:rPr>
            </w:pPr>
            <w:r>
              <w:rPr>
                <w:sz w:val="16"/>
              </w:rPr>
            </w:r>
          </w:p>
        </w:tc>
        <w:tc>
          <w:tcPr>
            <w:tcW w:w="6045" w:type="dxa"/>
            <w:tcBorders/>
          </w:tcPr>
          <w:p>
            <w:pPr>
              <w:pStyle w:val="Subject"/>
              <w:ind w:start="-110" w:end="0"/>
              <w:rPr/>
            </w:pPr>
            <w:r>
              <w:rPr/>
              <w:t>Kevin Presto</w:t>
            </w:r>
          </w:p>
        </w:tc>
        <w:tc>
          <w:tcPr>
            <w:tcW w:w="990" w:type="dxa"/>
            <w:tcBorders/>
          </w:tcPr>
          <w:p>
            <w:pPr>
              <w:pStyle w:val="Normal"/>
              <w:snapToGrid w:val="false"/>
              <w:ind w:start="-110" w:end="0"/>
              <w:jc w:val="end"/>
              <w:rPr>
                <w:sz w:val="16"/>
              </w:rPr>
            </w:pPr>
            <w:r>
              <w:rPr>
                <w:sz w:val="16"/>
              </w:rPr>
            </w:r>
          </w:p>
        </w:tc>
        <w:tc>
          <w:tcPr>
            <w:tcW w:w="2965" w:type="dxa"/>
            <w:tcBorders/>
          </w:tcPr>
          <w:p>
            <w:pPr>
              <w:pStyle w:val="Date"/>
              <w:snapToGrid w:val="false"/>
              <w:ind w:start="-110" w:end="0"/>
              <w:rPr>
                <w:sz w:val="16"/>
              </w:rPr>
            </w:pPr>
            <w:r>
              <w:rPr>
                <w:sz w:val="16"/>
              </w:rPr>
            </w:r>
          </w:p>
        </w:tc>
      </w:tr>
      <w:tr>
        <w:trPr>
          <w:trHeight w:val="288" w:hRule="exact"/>
        </w:trPr>
        <w:tc>
          <w:tcPr>
            <w:tcW w:w="708" w:type="dxa"/>
            <w:tcBorders>
              <w:bottom w:val="single" w:sz="12" w:space="0" w:color="000000"/>
            </w:tcBorders>
          </w:tcPr>
          <w:p>
            <w:pPr>
              <w:pStyle w:val="Normal"/>
              <w:snapToGrid w:val="false"/>
              <w:ind w:start="-110" w:end="0"/>
              <w:jc w:val="end"/>
              <w:rPr>
                <w:sz w:val="16"/>
              </w:rPr>
            </w:pPr>
            <w:r>
              <w:rPr>
                <w:sz w:val="16"/>
              </w:rPr>
            </w:r>
          </w:p>
        </w:tc>
        <w:tc>
          <w:tcPr>
            <w:tcW w:w="6045" w:type="dxa"/>
            <w:tcBorders>
              <w:bottom w:val="single" w:sz="12" w:space="0" w:color="000000"/>
            </w:tcBorders>
          </w:tcPr>
          <w:p>
            <w:pPr>
              <w:pStyle w:val="Subject"/>
              <w:ind w:start="-110" w:end="0"/>
              <w:rPr/>
            </w:pPr>
            <w:r>
              <w:rPr/>
              <w:t>Richard Sanders</w:t>
            </w:r>
          </w:p>
        </w:tc>
        <w:tc>
          <w:tcPr>
            <w:tcW w:w="990" w:type="dxa"/>
            <w:tcBorders>
              <w:bottom w:val="single" w:sz="12" w:space="0" w:color="000000"/>
            </w:tcBorders>
          </w:tcPr>
          <w:p>
            <w:pPr>
              <w:pStyle w:val="Normal"/>
              <w:snapToGrid w:val="false"/>
              <w:ind w:start="-110" w:end="0"/>
              <w:jc w:val="end"/>
              <w:rPr>
                <w:sz w:val="16"/>
              </w:rPr>
            </w:pPr>
            <w:r>
              <w:rPr>
                <w:sz w:val="16"/>
              </w:rPr>
            </w:r>
          </w:p>
        </w:tc>
        <w:tc>
          <w:tcPr>
            <w:tcW w:w="2965" w:type="dxa"/>
            <w:tcBorders>
              <w:bottom w:val="single" w:sz="12" w:space="0" w:color="000000"/>
            </w:tcBorders>
          </w:tcPr>
          <w:p>
            <w:pPr>
              <w:pStyle w:val="Date"/>
              <w:snapToGrid w:val="false"/>
              <w:ind w:start="-110" w:end="0"/>
              <w:rPr>
                <w:sz w:val="16"/>
              </w:rPr>
            </w:pPr>
            <w:r>
              <w:rPr>
                <w:sz w:val="16"/>
              </w:rPr>
            </w:r>
          </w:p>
        </w:tc>
      </w:tr>
    </w:tbl>
    <w:p>
      <w:pPr>
        <w:pStyle w:val="Body"/>
        <w:ind w:start="0" w:end="0"/>
        <w:rPr/>
      </w:pPr>
      <w:r>
        <w:rPr/>
      </w:r>
      <w:bookmarkStart w:id="1" w:name="StartOfMemo"/>
      <w:bookmarkStart w:id="2" w:name="StartOfMemo"/>
      <w:bookmarkEnd w:id="2"/>
    </w:p>
    <w:p>
      <w:pPr>
        <w:pStyle w:val="Body"/>
        <w:ind w:start="0" w:end="0"/>
        <w:jc w:val="both"/>
        <w:rPr/>
      </w:pPr>
      <w:r>
        <w:rPr/>
        <w:t>In order to mitigate and/or quantify any potential damages that EPMI may ultimately incur in connection with the pending MOPA litigation with TVA, we are considering whether it makes sense to offer to supply energy to TVA.</w:t>
      </w:r>
    </w:p>
    <w:p>
      <w:pPr>
        <w:pStyle w:val="Body"/>
        <w:ind w:start="0" w:end="0"/>
        <w:jc w:val="both"/>
        <w:rPr/>
      </w:pPr>
      <w:r>
        <w:rPr/>
      </w:r>
    </w:p>
    <w:p>
      <w:pPr>
        <w:pStyle w:val="Body"/>
        <w:ind w:start="0" w:end="0"/>
        <w:jc w:val="both"/>
        <w:rPr>
          <w:b/>
          <w:bCs/>
          <w:u w:val="single"/>
        </w:rPr>
      </w:pPr>
      <w:r>
        <w:rPr>
          <w:b/>
          <w:bCs/>
          <w:u w:val="single"/>
        </w:rPr>
        <w:t>Proposals:</w:t>
      </w:r>
    </w:p>
    <w:p>
      <w:pPr>
        <w:pStyle w:val="Body"/>
        <w:ind w:start="0" w:end="0"/>
        <w:jc w:val="both"/>
        <w:rPr>
          <w:b/>
          <w:bCs/>
          <w:u w:val="single"/>
        </w:rPr>
      </w:pPr>
      <w:r>
        <w:rPr>
          <w:b/>
          <w:bCs/>
          <w:u w:val="single"/>
        </w:rPr>
      </w:r>
    </w:p>
    <w:p>
      <w:pPr>
        <w:pStyle w:val="Body"/>
        <w:ind w:start="0" w:end="0"/>
        <w:jc w:val="both"/>
        <w:rPr/>
      </w:pPr>
      <w:r>
        <w:rPr/>
        <w:t>EPMI would make two alternative proposals to TVA.  The first option (the "MOPA Product") would be to provide energy to TVA under all of the terms and conditions set forth in the MOPA, including without limitation, providing energy to TVA at the MOPA price ($22 per MWh) and delivery point (i.e., EPMI would continue to be able to select the delivery points regardless of whether there was transmission available to transfer that energy from the interconnecting utility to TVA).  For this "reinstatement" of the MOPA to occur, EPMI would require TVA to deposit into an escrow account a market-based premium for such product.  This market-based premium would be stated for each Summer and Winter Period until either the end of the litigation or the termination of the MOPA.</w:t>
      </w:r>
      <w:r>
        <w:rPr>
          <w:rStyle w:val="FootnoteCharacters"/>
          <w:rStyle w:val="FootnoteReference"/>
        </w:rPr>
        <w:footnoteReference w:id="2"/>
      </w:r>
      <w:r>
        <w:rPr/>
        <w:t xml:space="preserve">  Before the commencement of each Summer and Winter Period, TVA would be required to deposit the stated premium for such period into the escrow account.  Such deposits by TVA would continue to be made by TVA until final resolution of the litigation currently pending between EPMI and TVA.  </w:t>
      </w:r>
    </w:p>
    <w:p>
      <w:pPr>
        <w:pStyle w:val="Body"/>
        <w:ind w:start="0" w:end="0"/>
        <w:jc w:val="both"/>
        <w:rPr/>
      </w:pPr>
      <w:r>
        <w:rPr/>
      </w:r>
    </w:p>
    <w:p>
      <w:pPr>
        <w:pStyle w:val="Body"/>
        <w:ind w:start="0" w:end="0"/>
        <w:jc w:val="both"/>
        <w:rPr/>
      </w:pPr>
      <w:r>
        <w:rPr/>
        <w:t>The second option (the "Into TVA Product") would be identical to the MOPA Product option (i.e., $22 MWh energy) except that EPMI would be obligated to deliver the energy to an interface at which transmission is available to TVA (this is not the product we think we sold TVA and is the basis for what we have been calling the "Delivery Point Dispute").  This "Into TVA Product" is the energy product TVA would use to cover any non-deliveries by EPMI.</w:t>
      </w:r>
    </w:p>
    <w:p>
      <w:pPr>
        <w:pStyle w:val="Body"/>
        <w:ind w:start="0" w:end="0"/>
        <w:jc w:val="both"/>
        <w:rPr/>
      </w:pPr>
      <w:r>
        <w:rPr/>
      </w:r>
    </w:p>
    <w:p>
      <w:pPr>
        <w:pStyle w:val="Body"/>
        <w:ind w:start="0" w:end="0"/>
        <w:jc w:val="both"/>
        <w:rPr>
          <w:b/>
          <w:bCs/>
          <w:u w:val="single"/>
        </w:rPr>
      </w:pPr>
      <w:r>
        <w:rPr>
          <w:b/>
          <w:bCs/>
          <w:u w:val="single"/>
        </w:rPr>
        <w:t>Reasons for Making the Proposals:</w:t>
      </w:r>
    </w:p>
    <w:p>
      <w:pPr>
        <w:pStyle w:val="Body"/>
        <w:ind w:start="0" w:end="0"/>
        <w:jc w:val="both"/>
        <w:rPr>
          <w:b/>
          <w:bCs/>
          <w:u w:val="single"/>
        </w:rPr>
      </w:pPr>
      <w:r>
        <w:rPr>
          <w:b/>
          <w:bCs/>
          <w:u w:val="single"/>
        </w:rPr>
      </w:r>
    </w:p>
    <w:p>
      <w:pPr>
        <w:pStyle w:val="Body"/>
        <w:ind w:start="0" w:end="0"/>
        <w:jc w:val="both"/>
        <w:rPr/>
      </w:pPr>
      <w:r>
        <w:rPr/>
        <w:t>While the actual outcome in litigation is uncertain, the damage model (assuming EPMI loses the MOPA termination argument) that is most likely, based upon the profile of the case today, is that TVA would be entitled to receive (1) actual cover damages from the suspension of deliveries by EPMI on January 27, 2000 through the judgment date (currently set for October 2001) plus (2) the replacement value of the remaining forward position valued as of the time of judgment.  This damage model is most likely due to the fact that EPMI has not expressly repudiated the MOPA and TVA is requesting specific performance.   We know that TVA has taken steps to cover some of the position (TVA invoiced EPMI $11 million in "partial damages" in March, 2000 and Gary Jackson of TVA this month told Rodgers Herndon that TVA had "already taken steps to replace" the MOPA), but not to what extent.  In the recent call with Rodgers Herndon, Gary Jackson expressed an interest in discussing offers by EPMI to supply energy.</w:t>
      </w:r>
    </w:p>
    <w:p>
      <w:pPr>
        <w:pStyle w:val="Body"/>
        <w:ind w:start="0" w:end="0"/>
        <w:jc w:val="both"/>
        <w:rPr/>
      </w:pPr>
      <w:r>
        <w:rPr/>
      </w:r>
    </w:p>
    <w:p>
      <w:pPr>
        <w:pStyle w:val="Body"/>
        <w:ind w:start="0" w:end="0"/>
        <w:jc w:val="both"/>
        <w:rPr/>
      </w:pPr>
      <w:r>
        <w:rPr/>
      </w:r>
    </w:p>
    <w:p>
      <w:pPr>
        <w:pStyle w:val="Body"/>
        <w:ind w:start="0" w:end="0"/>
        <w:jc w:val="both"/>
        <w:rPr/>
      </w:pPr>
      <w:r>
        <w:rPr/>
      </w:r>
    </w:p>
    <w:p>
      <w:pPr>
        <w:pStyle w:val="Body"/>
        <w:ind w:start="0" w:end="0"/>
        <w:jc w:val="both"/>
        <w:rPr/>
      </w:pPr>
      <w:r>
        <w:rPr/>
      </w:r>
    </w:p>
    <w:p>
      <w:pPr>
        <w:pStyle w:val="Body"/>
        <w:numPr>
          <w:ilvl w:val="0"/>
          <w:numId w:val="2"/>
        </w:numPr>
        <w:jc w:val="both"/>
        <w:rPr>
          <w:b/>
          <w:bCs/>
          <w:u w:val="single"/>
        </w:rPr>
      </w:pPr>
      <w:r>
        <w:rPr>
          <w:b/>
          <w:bCs/>
          <w:u w:val="single"/>
        </w:rPr>
        <w:t>TVA Rejects Both Proposals</w:t>
      </w:r>
    </w:p>
    <w:p>
      <w:pPr>
        <w:pStyle w:val="Body"/>
        <w:ind w:start="360" w:end="0"/>
        <w:jc w:val="both"/>
        <w:rPr>
          <w:b/>
          <w:bCs/>
          <w:u w:val="single"/>
        </w:rPr>
      </w:pPr>
      <w:r>
        <w:rPr>
          <w:b/>
          <w:bCs/>
          <w:u w:val="single"/>
        </w:rPr>
      </w:r>
    </w:p>
    <w:p>
      <w:pPr>
        <w:pStyle w:val="Body"/>
        <w:ind w:start="0" w:end="0"/>
        <w:jc w:val="both"/>
        <w:rPr/>
      </w:pPr>
      <w:r>
        <w:rPr/>
        <w:t>To the extent that TVA has not covered the MOPA quantity and yet refuses to accept EPMI's proposals, our proposals would be good evidence that could "cap" TVA's cover damages to our market-based premium numbers.  Based on this theory, if power prices move higher, then since we made a bona fide offer to TVA, we can argue that TVA should have mitigated its damages by accepting our proposal.  If power prices move lower, however, such offers could then also be used by TVA as evidence of damages, thereby establishing a "floor".  We will, however, always be able to challenge the propriety of TVA's alleged "actual damages."</w:t>
      </w:r>
    </w:p>
    <w:p>
      <w:pPr>
        <w:pStyle w:val="Body"/>
        <w:ind w:start="0" w:end="0"/>
        <w:jc w:val="both"/>
        <w:rPr/>
      </w:pPr>
      <w:r>
        <w:rPr/>
      </w:r>
    </w:p>
    <w:p>
      <w:pPr>
        <w:pStyle w:val="Body"/>
        <w:ind w:start="0" w:end="0"/>
        <w:jc w:val="both"/>
        <w:rPr/>
      </w:pPr>
      <w:r>
        <w:rPr/>
        <w:t>The reason for the two offers is to establish the value difference between the "MOPA Product" terms (e.g., where TVA assumed transmission risk as we believe) and an "Into TVA Product" term (which TVA is likely using to cover the MOPA quantity).  It is important to remember that even if we lose the termination argument, we want to preserve/present evidence of the Delivery Point dispute.  If we are successful on the Delivery Point issue, we will need to show how this delivery point flexibility and transmission risk allocation would have impacted TVA's overall damages resulting from EPMI's non-performance.  Our argument will be that TVA did not suffer damages equal to the value of an "Into TVA Product" because under the term of the MOPA, TVA would not have been able to receive the energy due to lack of transfer capability.</w:t>
      </w:r>
    </w:p>
    <w:p>
      <w:pPr>
        <w:pStyle w:val="Body"/>
        <w:ind w:start="0" w:end="0"/>
        <w:jc w:val="both"/>
        <w:rPr/>
      </w:pPr>
      <w:r>
        <w:rPr/>
      </w:r>
    </w:p>
    <w:p>
      <w:pPr>
        <w:pStyle w:val="Body"/>
        <w:numPr>
          <w:ilvl w:val="0"/>
          <w:numId w:val="2"/>
        </w:numPr>
        <w:jc w:val="both"/>
        <w:rPr>
          <w:b/>
          <w:bCs/>
          <w:u w:val="single"/>
        </w:rPr>
      </w:pPr>
      <w:r>
        <w:rPr>
          <w:b/>
          <w:bCs/>
          <w:u w:val="single"/>
        </w:rPr>
        <w:t>TVA Accepts One of the Proposals</w:t>
      </w:r>
    </w:p>
    <w:p>
      <w:pPr>
        <w:pStyle w:val="Body"/>
        <w:ind w:start="0" w:end="0"/>
        <w:jc w:val="both"/>
        <w:rPr>
          <w:b/>
          <w:bCs/>
          <w:u w:val="single"/>
        </w:rPr>
      </w:pPr>
      <w:r>
        <w:rPr>
          <w:b/>
          <w:bCs/>
          <w:u w:val="single"/>
        </w:rPr>
      </w:r>
    </w:p>
    <w:p>
      <w:pPr>
        <w:pStyle w:val="Body"/>
        <w:ind w:start="0" w:end="0"/>
        <w:jc w:val="both"/>
        <w:rPr/>
      </w:pPr>
      <w:r>
        <w:rPr/>
        <w:t>The following is a further summary of what could happen depending on the outcome of the litigation if TVA accepted one of the proposals:</w:t>
      </w:r>
    </w:p>
    <w:p>
      <w:pPr>
        <w:pStyle w:val="Body"/>
        <w:ind w:start="0" w:end="0"/>
        <w:jc w:val="both"/>
        <w:rPr/>
      </w:pPr>
      <w:r>
        <w:rPr/>
      </w:r>
    </w:p>
    <w:p>
      <w:pPr>
        <w:pStyle w:val="Body"/>
        <w:ind w:start="0" w:end="0"/>
        <w:jc w:val="both"/>
        <w:rPr>
          <w:b/>
          <w:bCs/>
          <w:smallCaps/>
          <w:u w:val="single"/>
        </w:rPr>
      </w:pPr>
      <w:r>
        <w:rPr>
          <w:b/>
          <w:bCs/>
          <w:smallCaps/>
          <w:u w:val="single"/>
        </w:rPr>
        <w:t>Scenario #1 – MOPA Product accepted by TVA</w:t>
      </w:r>
    </w:p>
    <w:p>
      <w:pPr>
        <w:pStyle w:val="Body"/>
        <w:ind w:start="0" w:end="0"/>
        <w:jc w:val="both"/>
        <w:rPr>
          <w:b/>
          <w:bCs/>
          <w:smallCaps/>
          <w:u w:val="single"/>
        </w:rPr>
      </w:pPr>
      <w:r>
        <w:rPr>
          <w:b/>
          <w:bCs/>
          <w:smallCaps/>
          <w:u w:val="single"/>
        </w:rPr>
      </w:r>
    </w:p>
    <w:tbl>
      <w:tblPr>
        <w:tblW w:w="10800" w:type="dxa"/>
        <w:jc w:val="start"/>
        <w:tblInd w:w="108" w:type="dxa"/>
        <w:tblLayout w:type="fixed"/>
        <w:tblCellMar>
          <w:top w:w="0" w:type="dxa"/>
          <w:start w:w="108" w:type="dxa"/>
          <w:bottom w:w="0" w:type="dxa"/>
          <w:end w:w="108" w:type="dxa"/>
        </w:tblCellMar>
      </w:tblPr>
      <w:tblGrid>
        <w:gridCol w:w="1800"/>
        <w:gridCol w:w="2520"/>
        <w:gridCol w:w="2430"/>
        <w:gridCol w:w="2340"/>
        <w:gridCol w:w="1710"/>
      </w:tblGrid>
      <w:tr>
        <w:trPr>
          <w:tblHeader w:val="true"/>
        </w:trPr>
        <w:tc>
          <w:tcPr>
            <w:tcW w:w="1800" w:type="dxa"/>
            <w:tcBorders>
              <w:bottom w:val="double" w:sz="4" w:space="0" w:color="000000"/>
            </w:tcBorders>
          </w:tcPr>
          <w:p>
            <w:pPr>
              <w:pStyle w:val="Body"/>
              <w:snapToGrid w:val="false"/>
              <w:spacing w:before="120" w:after="120"/>
              <w:ind w:start="0" w:end="0"/>
              <w:jc w:val="center"/>
              <w:rPr>
                <w:b/>
                <w:bCs/>
              </w:rPr>
            </w:pPr>
            <w:r>
              <w:rPr>
                <w:b/>
                <w:bCs/>
              </w:rPr>
            </w:r>
          </w:p>
        </w:tc>
        <w:tc>
          <w:tcPr>
            <w:tcW w:w="2520" w:type="dxa"/>
            <w:tcBorders>
              <w:bottom w:val="double" w:sz="4" w:space="0" w:color="000000"/>
            </w:tcBorders>
          </w:tcPr>
          <w:p>
            <w:pPr>
              <w:pStyle w:val="Body"/>
              <w:spacing w:before="120" w:after="120"/>
              <w:ind w:start="0" w:end="0"/>
              <w:jc w:val="center"/>
              <w:rPr>
                <w:b/>
                <w:bCs/>
              </w:rPr>
            </w:pPr>
            <w:r>
              <w:rPr>
                <w:b/>
                <w:bCs/>
              </w:rPr>
              <w:t>A</w:t>
            </w:r>
          </w:p>
        </w:tc>
        <w:tc>
          <w:tcPr>
            <w:tcW w:w="2430" w:type="dxa"/>
            <w:tcBorders>
              <w:bottom w:val="double" w:sz="4" w:space="0" w:color="000000"/>
            </w:tcBorders>
          </w:tcPr>
          <w:p>
            <w:pPr>
              <w:pStyle w:val="Body"/>
              <w:spacing w:before="120" w:after="120"/>
              <w:ind w:start="0" w:end="0"/>
              <w:jc w:val="center"/>
              <w:rPr>
                <w:b/>
                <w:bCs/>
              </w:rPr>
            </w:pPr>
            <w:r>
              <w:rPr>
                <w:b/>
                <w:bCs/>
              </w:rPr>
              <w:t>B</w:t>
            </w:r>
          </w:p>
        </w:tc>
        <w:tc>
          <w:tcPr>
            <w:tcW w:w="2340" w:type="dxa"/>
            <w:tcBorders>
              <w:bottom w:val="double" w:sz="4" w:space="0" w:color="000000"/>
            </w:tcBorders>
          </w:tcPr>
          <w:p>
            <w:pPr>
              <w:pStyle w:val="Body"/>
              <w:spacing w:before="120" w:after="120"/>
              <w:ind w:start="0" w:end="0"/>
              <w:jc w:val="center"/>
              <w:rPr>
                <w:b/>
                <w:bCs/>
              </w:rPr>
            </w:pPr>
            <w:r>
              <w:rPr>
                <w:b/>
                <w:bCs/>
              </w:rPr>
              <w:t>C</w:t>
            </w:r>
          </w:p>
        </w:tc>
        <w:tc>
          <w:tcPr>
            <w:tcW w:w="1710" w:type="dxa"/>
            <w:tcBorders>
              <w:bottom w:val="double" w:sz="4" w:space="0" w:color="000000"/>
            </w:tcBorders>
          </w:tcPr>
          <w:p>
            <w:pPr>
              <w:pStyle w:val="Body"/>
              <w:spacing w:before="120" w:after="120"/>
              <w:ind w:start="0" w:end="0"/>
              <w:jc w:val="center"/>
              <w:rPr>
                <w:b/>
                <w:bCs/>
              </w:rPr>
            </w:pPr>
            <w:r>
              <w:rPr>
                <w:b/>
                <w:bCs/>
              </w:rPr>
              <w:t>D</w:t>
            </w:r>
          </w:p>
        </w:tc>
      </w:tr>
      <w:tr>
        <w:trPr/>
        <w:tc>
          <w:tcPr>
            <w:tcW w:w="1800" w:type="dxa"/>
            <w:tcBorders>
              <w:top w:val="double" w:sz="4" w:space="0" w:color="000000"/>
              <w:start w:val="single" w:sz="4" w:space="0" w:color="000000"/>
            </w:tcBorders>
          </w:tcPr>
          <w:p>
            <w:pPr>
              <w:pStyle w:val="Body"/>
              <w:spacing w:before="120" w:after="120"/>
              <w:ind w:start="0" w:end="0"/>
              <w:rPr>
                <w:b/>
                <w:bCs/>
              </w:rPr>
            </w:pPr>
            <w:r>
              <w:rPr>
                <w:b/>
                <w:bCs/>
              </w:rPr>
              <w:t>Termination Argument</w:t>
            </w:r>
          </w:p>
        </w:tc>
        <w:tc>
          <w:tcPr>
            <w:tcW w:w="2520" w:type="dxa"/>
            <w:tcBorders>
              <w:top w:val="double" w:sz="4" w:space="0" w:color="000000"/>
            </w:tcBorders>
          </w:tcPr>
          <w:p>
            <w:pPr>
              <w:pStyle w:val="Body"/>
              <w:spacing w:before="120" w:after="120"/>
              <w:ind w:start="0" w:end="0"/>
              <w:rPr/>
            </w:pPr>
            <w:r>
              <w:rPr/>
              <w:t>lose</w:t>
            </w:r>
          </w:p>
        </w:tc>
        <w:tc>
          <w:tcPr>
            <w:tcW w:w="2430" w:type="dxa"/>
            <w:tcBorders>
              <w:top w:val="double" w:sz="4" w:space="0" w:color="000000"/>
            </w:tcBorders>
          </w:tcPr>
          <w:p>
            <w:pPr>
              <w:pStyle w:val="Body"/>
              <w:spacing w:before="120" w:after="120"/>
              <w:ind w:start="0" w:end="0"/>
              <w:rPr/>
            </w:pPr>
            <w:r>
              <w:rPr/>
              <w:t>lose</w:t>
            </w:r>
          </w:p>
        </w:tc>
        <w:tc>
          <w:tcPr>
            <w:tcW w:w="2340" w:type="dxa"/>
            <w:tcBorders>
              <w:top w:val="double" w:sz="4" w:space="0" w:color="000000"/>
            </w:tcBorders>
          </w:tcPr>
          <w:p>
            <w:pPr>
              <w:pStyle w:val="Body"/>
              <w:spacing w:before="120" w:after="120"/>
              <w:ind w:start="0" w:end="0"/>
              <w:rPr/>
            </w:pPr>
            <w:r>
              <w:rPr/>
              <w:t>win</w:t>
            </w:r>
          </w:p>
        </w:tc>
        <w:tc>
          <w:tcPr>
            <w:tcW w:w="1710" w:type="dxa"/>
            <w:tcBorders>
              <w:top w:val="double" w:sz="4" w:space="0" w:color="000000"/>
              <w:end w:val="single" w:sz="4" w:space="0" w:color="000000"/>
            </w:tcBorders>
          </w:tcPr>
          <w:p>
            <w:pPr>
              <w:pStyle w:val="Body"/>
              <w:spacing w:before="120" w:after="120"/>
              <w:ind w:start="0" w:end="0"/>
              <w:rPr/>
            </w:pPr>
            <w:r>
              <w:rPr/>
              <w:t>win</w:t>
            </w:r>
          </w:p>
        </w:tc>
      </w:tr>
      <w:tr>
        <w:trPr/>
        <w:tc>
          <w:tcPr>
            <w:tcW w:w="1800" w:type="dxa"/>
            <w:tcBorders>
              <w:start w:val="single" w:sz="4" w:space="0" w:color="000000"/>
            </w:tcBorders>
          </w:tcPr>
          <w:p>
            <w:pPr>
              <w:pStyle w:val="Body"/>
              <w:spacing w:before="120" w:after="120"/>
              <w:ind w:start="0" w:end="0"/>
              <w:rPr>
                <w:b/>
                <w:bCs/>
              </w:rPr>
            </w:pPr>
            <w:r>
              <w:rPr>
                <w:b/>
                <w:bCs/>
              </w:rPr>
              <w:t>Delivery Point Argument</w:t>
            </w:r>
          </w:p>
        </w:tc>
        <w:tc>
          <w:tcPr>
            <w:tcW w:w="2520" w:type="dxa"/>
            <w:tcBorders/>
          </w:tcPr>
          <w:p>
            <w:pPr>
              <w:pStyle w:val="Body"/>
              <w:spacing w:before="120" w:after="120"/>
              <w:ind w:start="0" w:end="0"/>
              <w:rPr/>
            </w:pPr>
            <w:r>
              <w:rPr/>
              <w:t>lose</w:t>
            </w:r>
          </w:p>
        </w:tc>
        <w:tc>
          <w:tcPr>
            <w:tcW w:w="2430" w:type="dxa"/>
            <w:tcBorders/>
          </w:tcPr>
          <w:p>
            <w:pPr>
              <w:pStyle w:val="Body"/>
              <w:spacing w:before="120" w:after="120"/>
              <w:ind w:start="0" w:end="0"/>
              <w:rPr/>
            </w:pPr>
            <w:r>
              <w:rPr/>
              <w:t>win</w:t>
            </w:r>
          </w:p>
        </w:tc>
        <w:tc>
          <w:tcPr>
            <w:tcW w:w="2340" w:type="dxa"/>
            <w:tcBorders/>
          </w:tcPr>
          <w:p>
            <w:pPr>
              <w:pStyle w:val="Body"/>
              <w:spacing w:before="120" w:after="120"/>
              <w:ind w:start="0" w:end="0"/>
              <w:rPr/>
            </w:pPr>
            <w:r>
              <w:rPr/>
              <w:t>lose</w:t>
            </w:r>
          </w:p>
        </w:tc>
        <w:tc>
          <w:tcPr>
            <w:tcW w:w="1710" w:type="dxa"/>
            <w:tcBorders>
              <w:end w:val="single" w:sz="4" w:space="0" w:color="000000"/>
            </w:tcBorders>
          </w:tcPr>
          <w:p>
            <w:pPr>
              <w:pStyle w:val="Body"/>
              <w:spacing w:before="120" w:after="120"/>
              <w:ind w:start="0" w:end="0"/>
              <w:rPr/>
            </w:pPr>
            <w:r>
              <w:rPr/>
              <w:t>win</w:t>
            </w:r>
          </w:p>
        </w:tc>
      </w:tr>
      <w:tr>
        <w:trPr/>
        <w:tc>
          <w:tcPr>
            <w:tcW w:w="1800" w:type="dxa"/>
            <w:tcBorders>
              <w:start w:val="single" w:sz="4" w:space="0" w:color="000000"/>
            </w:tcBorders>
          </w:tcPr>
          <w:p>
            <w:pPr>
              <w:pStyle w:val="Body"/>
              <w:spacing w:before="120" w:after="120"/>
              <w:ind w:start="0" w:end="0"/>
              <w:rPr>
                <w:b/>
                <w:bCs/>
              </w:rPr>
            </w:pPr>
            <w:r>
              <w:rPr>
                <w:b/>
                <w:bCs/>
              </w:rPr>
              <w:t>Result</w:t>
            </w:r>
          </w:p>
        </w:tc>
        <w:tc>
          <w:tcPr>
            <w:tcW w:w="2520" w:type="dxa"/>
            <w:tcBorders/>
          </w:tcPr>
          <w:p>
            <w:pPr>
              <w:pStyle w:val="Body"/>
              <w:spacing w:before="120" w:after="120"/>
              <w:ind w:start="0" w:end="0"/>
              <w:rPr/>
            </w:pPr>
            <w:r>
              <w:rPr/>
              <w:t>TVA receives all escrowed money.  TVA has damage claim for daily liquidation on non-delivery days.  [EPMI could continue to perform per MOPA or argue economic breach]</w:t>
            </w:r>
          </w:p>
        </w:tc>
        <w:tc>
          <w:tcPr>
            <w:tcW w:w="2430" w:type="dxa"/>
            <w:tcBorders/>
          </w:tcPr>
          <w:p>
            <w:pPr>
              <w:pStyle w:val="Body"/>
              <w:spacing w:before="120" w:after="120"/>
              <w:ind w:start="0" w:end="0"/>
              <w:rPr/>
            </w:pPr>
            <w:r>
              <w:rPr/>
              <w:t>TVA receives all escrowed money.  EPMI has no liability for non-delivery days.  [EPMI could continue to perform per MOPA or argue economic breach]</w:t>
            </w:r>
          </w:p>
        </w:tc>
        <w:tc>
          <w:tcPr>
            <w:tcW w:w="2340" w:type="dxa"/>
            <w:tcBorders/>
          </w:tcPr>
          <w:p>
            <w:pPr>
              <w:pStyle w:val="Body"/>
              <w:spacing w:before="120" w:after="120"/>
              <w:ind w:start="0" w:end="0"/>
              <w:rPr/>
            </w:pPr>
            <w:r>
              <w:rPr/>
              <w:t>EPMI receives escrowed money, but TVA entitled to damages for non-delivery days prior to termination</w:t>
            </w:r>
          </w:p>
        </w:tc>
        <w:tc>
          <w:tcPr>
            <w:tcW w:w="1710" w:type="dxa"/>
            <w:tcBorders>
              <w:end w:val="single" w:sz="4" w:space="0" w:color="000000"/>
            </w:tcBorders>
          </w:tcPr>
          <w:p>
            <w:pPr>
              <w:pStyle w:val="Body"/>
              <w:spacing w:before="120" w:after="120"/>
              <w:ind w:start="0" w:end="0"/>
              <w:rPr/>
            </w:pPr>
            <w:r>
              <w:rPr/>
              <w:t>EPMI receives escrowed amount and TVA not entitled to past damages for non-delivery days</w:t>
            </w:r>
          </w:p>
        </w:tc>
      </w:tr>
      <w:tr>
        <w:trPr/>
        <w:tc>
          <w:tcPr>
            <w:tcW w:w="1800" w:type="dxa"/>
            <w:tcBorders>
              <w:start w:val="single" w:sz="4" w:space="0" w:color="000000"/>
              <w:bottom w:val="single" w:sz="4" w:space="0" w:color="000000"/>
            </w:tcBorders>
          </w:tcPr>
          <w:p>
            <w:pPr>
              <w:pStyle w:val="Body"/>
              <w:spacing w:before="120" w:after="120"/>
              <w:ind w:start="0" w:end="0"/>
              <w:rPr>
                <w:b/>
                <w:bCs/>
              </w:rPr>
            </w:pPr>
            <w:r>
              <w:rPr>
                <w:b/>
                <w:bCs/>
              </w:rPr>
              <w:t>Summary</w:t>
            </w:r>
          </w:p>
        </w:tc>
        <w:tc>
          <w:tcPr>
            <w:tcW w:w="2520" w:type="dxa"/>
            <w:tcBorders>
              <w:bottom w:val="single" w:sz="4" w:space="0" w:color="000000"/>
            </w:tcBorders>
          </w:tcPr>
          <w:p>
            <w:pPr>
              <w:pStyle w:val="Body"/>
              <w:spacing w:before="120" w:after="120"/>
              <w:ind w:start="0" w:end="0"/>
              <w:rPr/>
            </w:pPr>
            <w:r>
              <w:rPr/>
              <w:t>Damages unknown</w:t>
            </w:r>
          </w:p>
        </w:tc>
        <w:tc>
          <w:tcPr>
            <w:tcW w:w="2430" w:type="dxa"/>
            <w:tcBorders>
              <w:bottom w:val="single" w:sz="4" w:space="0" w:color="000000"/>
            </w:tcBorders>
          </w:tcPr>
          <w:p>
            <w:pPr>
              <w:pStyle w:val="Body"/>
              <w:spacing w:before="120" w:after="120"/>
              <w:ind w:start="0" w:end="0"/>
              <w:rPr/>
            </w:pPr>
            <w:r>
              <w:rPr/>
              <w:t>Damages likely capped through trial at escrowed amount.  Effectiveness of cap depends in part on how much TVA has already covered</w:t>
            </w:r>
          </w:p>
        </w:tc>
        <w:tc>
          <w:tcPr>
            <w:tcW w:w="2340" w:type="dxa"/>
            <w:tcBorders>
              <w:bottom w:val="single" w:sz="4" w:space="0" w:color="000000"/>
            </w:tcBorders>
          </w:tcPr>
          <w:p>
            <w:pPr>
              <w:pStyle w:val="Body"/>
              <w:spacing w:before="120" w:after="120"/>
              <w:ind w:start="0" w:end="0"/>
              <w:rPr/>
            </w:pPr>
            <w:r>
              <w:rPr/>
              <w:t>No damages other than for prior non-delivery days (invoiced by TVA at $7 million)</w:t>
            </w:r>
          </w:p>
        </w:tc>
        <w:tc>
          <w:tcPr>
            <w:tcW w:w="1710" w:type="dxa"/>
            <w:tcBorders>
              <w:bottom w:val="single" w:sz="4" w:space="0" w:color="000000"/>
              <w:end w:val="single" w:sz="4" w:space="0" w:color="000000"/>
            </w:tcBorders>
          </w:tcPr>
          <w:p>
            <w:pPr>
              <w:pStyle w:val="Body"/>
              <w:spacing w:before="120" w:after="120"/>
              <w:ind w:start="0" w:end="0"/>
              <w:rPr/>
            </w:pPr>
            <w:r>
              <w:rPr/>
              <w:t>No damages</w:t>
            </w:r>
          </w:p>
        </w:tc>
      </w:tr>
    </w:tbl>
    <w:p>
      <w:pPr>
        <w:pStyle w:val="Body"/>
        <w:ind w:start="0" w:end="0"/>
        <w:jc w:val="both"/>
        <w:rPr/>
      </w:pPr>
      <w:r>
        <w:rPr/>
      </w:r>
      <w:r>
        <w:br w:type="page"/>
      </w:r>
    </w:p>
    <w:p>
      <w:pPr>
        <w:pStyle w:val="Body"/>
        <w:ind w:start="0" w:end="0"/>
        <w:jc w:val="both"/>
        <w:rPr/>
      </w:pPr>
      <w:r>
        <w:rPr/>
      </w:r>
    </w:p>
    <w:p>
      <w:pPr>
        <w:pStyle w:val="Body"/>
        <w:keepNext w:val="true"/>
        <w:spacing w:lineRule="auto" w:line="360"/>
        <w:ind w:start="0" w:end="0"/>
        <w:jc w:val="both"/>
        <w:rPr/>
      </w:pPr>
      <w:r>
        <w:rPr/>
        <w:t>Scenario #3 – Into Product accepted by TVA</w:t>
      </w:r>
    </w:p>
    <w:tbl>
      <w:tblPr>
        <w:tblW w:w="10800" w:type="dxa"/>
        <w:jc w:val="start"/>
        <w:tblInd w:w="108" w:type="dxa"/>
        <w:tblLayout w:type="fixed"/>
        <w:tblCellMar>
          <w:top w:w="0" w:type="dxa"/>
          <w:start w:w="108" w:type="dxa"/>
          <w:bottom w:w="0" w:type="dxa"/>
          <w:end w:w="108" w:type="dxa"/>
        </w:tblCellMar>
      </w:tblPr>
      <w:tblGrid>
        <w:gridCol w:w="1800"/>
        <w:gridCol w:w="2520"/>
        <w:gridCol w:w="2430"/>
        <w:gridCol w:w="2340"/>
        <w:gridCol w:w="1710"/>
      </w:tblGrid>
      <w:tr>
        <w:trPr/>
        <w:tc>
          <w:tcPr>
            <w:tcW w:w="1800" w:type="dxa"/>
            <w:tcBorders>
              <w:bottom w:val="double" w:sz="4" w:space="0" w:color="000000"/>
            </w:tcBorders>
          </w:tcPr>
          <w:p>
            <w:pPr>
              <w:pStyle w:val="Body"/>
              <w:snapToGrid w:val="false"/>
              <w:spacing w:before="120" w:after="120"/>
              <w:ind w:start="0" w:end="0"/>
              <w:jc w:val="center"/>
              <w:rPr>
                <w:b/>
                <w:bCs/>
              </w:rPr>
            </w:pPr>
            <w:r>
              <w:rPr>
                <w:b/>
                <w:bCs/>
              </w:rPr>
            </w:r>
          </w:p>
        </w:tc>
        <w:tc>
          <w:tcPr>
            <w:tcW w:w="2520" w:type="dxa"/>
            <w:tcBorders>
              <w:bottom w:val="double" w:sz="4" w:space="0" w:color="000000"/>
            </w:tcBorders>
          </w:tcPr>
          <w:p>
            <w:pPr>
              <w:pStyle w:val="Body"/>
              <w:spacing w:before="120" w:after="120"/>
              <w:ind w:start="0" w:end="0"/>
              <w:jc w:val="center"/>
              <w:rPr>
                <w:b/>
                <w:bCs/>
              </w:rPr>
            </w:pPr>
            <w:r>
              <w:rPr>
                <w:b/>
                <w:bCs/>
              </w:rPr>
              <w:t>A</w:t>
            </w:r>
          </w:p>
        </w:tc>
        <w:tc>
          <w:tcPr>
            <w:tcW w:w="2430" w:type="dxa"/>
            <w:tcBorders>
              <w:bottom w:val="double" w:sz="4" w:space="0" w:color="000000"/>
            </w:tcBorders>
          </w:tcPr>
          <w:p>
            <w:pPr>
              <w:pStyle w:val="Body"/>
              <w:spacing w:before="120" w:after="120"/>
              <w:ind w:start="0" w:end="0"/>
              <w:jc w:val="center"/>
              <w:rPr>
                <w:b/>
                <w:bCs/>
              </w:rPr>
            </w:pPr>
            <w:r>
              <w:rPr>
                <w:b/>
                <w:bCs/>
              </w:rPr>
              <w:t>B</w:t>
            </w:r>
          </w:p>
        </w:tc>
        <w:tc>
          <w:tcPr>
            <w:tcW w:w="2340" w:type="dxa"/>
            <w:tcBorders>
              <w:bottom w:val="double" w:sz="4" w:space="0" w:color="000000"/>
            </w:tcBorders>
          </w:tcPr>
          <w:p>
            <w:pPr>
              <w:pStyle w:val="Body"/>
              <w:spacing w:before="120" w:after="120"/>
              <w:ind w:start="0" w:end="0"/>
              <w:jc w:val="center"/>
              <w:rPr>
                <w:b/>
                <w:bCs/>
              </w:rPr>
            </w:pPr>
            <w:r>
              <w:rPr>
                <w:b/>
                <w:bCs/>
              </w:rPr>
              <w:t>C</w:t>
            </w:r>
          </w:p>
        </w:tc>
        <w:tc>
          <w:tcPr>
            <w:tcW w:w="1710" w:type="dxa"/>
            <w:tcBorders>
              <w:bottom w:val="double" w:sz="4" w:space="0" w:color="000000"/>
            </w:tcBorders>
          </w:tcPr>
          <w:p>
            <w:pPr>
              <w:pStyle w:val="Body"/>
              <w:spacing w:before="120" w:after="120"/>
              <w:ind w:start="0" w:end="0"/>
              <w:jc w:val="center"/>
              <w:rPr>
                <w:b/>
                <w:bCs/>
              </w:rPr>
            </w:pPr>
            <w:r>
              <w:rPr>
                <w:b/>
                <w:bCs/>
              </w:rPr>
              <w:t>D</w:t>
            </w:r>
          </w:p>
        </w:tc>
      </w:tr>
      <w:tr>
        <w:trPr/>
        <w:tc>
          <w:tcPr>
            <w:tcW w:w="1800" w:type="dxa"/>
            <w:tcBorders>
              <w:top w:val="double" w:sz="4" w:space="0" w:color="000000"/>
              <w:start w:val="single" w:sz="4" w:space="0" w:color="000000"/>
            </w:tcBorders>
          </w:tcPr>
          <w:p>
            <w:pPr>
              <w:pStyle w:val="Body"/>
              <w:spacing w:before="120" w:after="120"/>
              <w:ind w:start="0" w:end="0"/>
              <w:rPr>
                <w:b/>
                <w:bCs/>
              </w:rPr>
            </w:pPr>
            <w:r>
              <w:rPr>
                <w:b/>
                <w:bCs/>
              </w:rPr>
              <w:t>Termination Argument</w:t>
            </w:r>
          </w:p>
        </w:tc>
        <w:tc>
          <w:tcPr>
            <w:tcW w:w="2520" w:type="dxa"/>
            <w:tcBorders>
              <w:top w:val="double" w:sz="4" w:space="0" w:color="000000"/>
            </w:tcBorders>
          </w:tcPr>
          <w:p>
            <w:pPr>
              <w:pStyle w:val="Body"/>
              <w:spacing w:before="120" w:after="120"/>
              <w:ind w:start="0" w:end="0"/>
              <w:rPr/>
            </w:pPr>
            <w:r>
              <w:rPr/>
              <w:t>lose</w:t>
            </w:r>
          </w:p>
        </w:tc>
        <w:tc>
          <w:tcPr>
            <w:tcW w:w="2430" w:type="dxa"/>
            <w:tcBorders>
              <w:top w:val="double" w:sz="4" w:space="0" w:color="000000"/>
            </w:tcBorders>
          </w:tcPr>
          <w:p>
            <w:pPr>
              <w:pStyle w:val="Body"/>
              <w:spacing w:before="120" w:after="120"/>
              <w:ind w:start="0" w:end="0"/>
              <w:rPr/>
            </w:pPr>
            <w:r>
              <w:rPr/>
              <w:t>lose</w:t>
            </w:r>
          </w:p>
        </w:tc>
        <w:tc>
          <w:tcPr>
            <w:tcW w:w="2340" w:type="dxa"/>
            <w:tcBorders>
              <w:top w:val="double" w:sz="4" w:space="0" w:color="000000"/>
            </w:tcBorders>
          </w:tcPr>
          <w:p>
            <w:pPr>
              <w:pStyle w:val="Body"/>
              <w:spacing w:before="120" w:after="120"/>
              <w:ind w:start="0" w:end="0"/>
              <w:rPr/>
            </w:pPr>
            <w:r>
              <w:rPr/>
              <w:t>win</w:t>
            </w:r>
          </w:p>
        </w:tc>
        <w:tc>
          <w:tcPr>
            <w:tcW w:w="1710" w:type="dxa"/>
            <w:tcBorders>
              <w:top w:val="double" w:sz="4" w:space="0" w:color="000000"/>
              <w:end w:val="single" w:sz="4" w:space="0" w:color="000000"/>
            </w:tcBorders>
          </w:tcPr>
          <w:p>
            <w:pPr>
              <w:pStyle w:val="Body"/>
              <w:spacing w:before="120" w:after="120"/>
              <w:ind w:start="0" w:end="0"/>
              <w:rPr/>
            </w:pPr>
            <w:r>
              <w:rPr/>
              <w:t>win</w:t>
            </w:r>
          </w:p>
        </w:tc>
      </w:tr>
      <w:tr>
        <w:trPr/>
        <w:tc>
          <w:tcPr>
            <w:tcW w:w="1800" w:type="dxa"/>
            <w:tcBorders>
              <w:start w:val="single" w:sz="4" w:space="0" w:color="000000"/>
            </w:tcBorders>
          </w:tcPr>
          <w:p>
            <w:pPr>
              <w:pStyle w:val="Body"/>
              <w:spacing w:before="120" w:after="120"/>
              <w:ind w:start="0" w:end="0"/>
              <w:rPr>
                <w:b/>
                <w:bCs/>
              </w:rPr>
            </w:pPr>
            <w:r>
              <w:rPr>
                <w:b/>
                <w:bCs/>
              </w:rPr>
              <w:t>Delivery Point Argument</w:t>
            </w:r>
          </w:p>
        </w:tc>
        <w:tc>
          <w:tcPr>
            <w:tcW w:w="2520" w:type="dxa"/>
            <w:tcBorders/>
          </w:tcPr>
          <w:p>
            <w:pPr>
              <w:pStyle w:val="Body"/>
              <w:spacing w:before="120" w:after="120"/>
              <w:ind w:start="0" w:end="0"/>
              <w:rPr/>
            </w:pPr>
            <w:r>
              <w:rPr/>
              <w:t>lose</w:t>
            </w:r>
          </w:p>
        </w:tc>
        <w:tc>
          <w:tcPr>
            <w:tcW w:w="2430" w:type="dxa"/>
            <w:tcBorders/>
          </w:tcPr>
          <w:p>
            <w:pPr>
              <w:pStyle w:val="Body"/>
              <w:spacing w:before="120" w:after="120"/>
              <w:ind w:start="0" w:end="0"/>
              <w:rPr/>
            </w:pPr>
            <w:r>
              <w:rPr/>
              <w:t>win</w:t>
            </w:r>
          </w:p>
        </w:tc>
        <w:tc>
          <w:tcPr>
            <w:tcW w:w="2340" w:type="dxa"/>
            <w:tcBorders/>
          </w:tcPr>
          <w:p>
            <w:pPr>
              <w:pStyle w:val="Body"/>
              <w:spacing w:before="120" w:after="120"/>
              <w:ind w:start="0" w:end="0"/>
              <w:rPr/>
            </w:pPr>
            <w:r>
              <w:rPr/>
              <w:t>lose</w:t>
            </w:r>
          </w:p>
        </w:tc>
        <w:tc>
          <w:tcPr>
            <w:tcW w:w="1710" w:type="dxa"/>
            <w:tcBorders>
              <w:end w:val="single" w:sz="4" w:space="0" w:color="000000"/>
            </w:tcBorders>
          </w:tcPr>
          <w:p>
            <w:pPr>
              <w:pStyle w:val="Body"/>
              <w:spacing w:before="120" w:after="120"/>
              <w:ind w:start="0" w:end="0"/>
              <w:rPr/>
            </w:pPr>
            <w:r>
              <w:rPr/>
              <w:t>win</w:t>
            </w:r>
          </w:p>
        </w:tc>
      </w:tr>
      <w:tr>
        <w:trPr/>
        <w:tc>
          <w:tcPr>
            <w:tcW w:w="1800" w:type="dxa"/>
            <w:tcBorders>
              <w:start w:val="single" w:sz="4" w:space="0" w:color="000000"/>
            </w:tcBorders>
          </w:tcPr>
          <w:p>
            <w:pPr>
              <w:pStyle w:val="Body"/>
              <w:spacing w:before="120" w:after="120"/>
              <w:ind w:start="0" w:end="0"/>
              <w:rPr>
                <w:b/>
                <w:bCs/>
              </w:rPr>
            </w:pPr>
            <w:r>
              <w:rPr>
                <w:b/>
                <w:bCs/>
              </w:rPr>
              <w:t>Result</w:t>
            </w:r>
          </w:p>
        </w:tc>
        <w:tc>
          <w:tcPr>
            <w:tcW w:w="2520" w:type="dxa"/>
            <w:tcBorders/>
          </w:tcPr>
          <w:p>
            <w:pPr>
              <w:pStyle w:val="Body"/>
              <w:spacing w:before="120" w:after="120"/>
              <w:ind w:start="0" w:end="0"/>
              <w:rPr/>
            </w:pPr>
            <w:r>
              <w:rPr/>
              <w:t>TVA receives escrowed amount.  [EPMI performs remaining term under MOPA or argues economic breach]</w:t>
            </w:r>
          </w:p>
        </w:tc>
        <w:tc>
          <w:tcPr>
            <w:tcW w:w="2430" w:type="dxa"/>
            <w:tcBorders/>
          </w:tcPr>
          <w:p>
            <w:pPr>
              <w:pStyle w:val="Body"/>
              <w:spacing w:before="120" w:after="120"/>
              <w:ind w:start="0" w:end="0"/>
              <w:rPr/>
            </w:pPr>
            <w:r>
              <w:rPr/>
              <w:t>TVA receives escrowed amount.  EPMI argues it is entitled to damages since TVA would not have been able to receive energy. [EPMI performs remaining term under MOPA or argues economic breach]</w:t>
            </w:r>
          </w:p>
        </w:tc>
        <w:tc>
          <w:tcPr>
            <w:tcW w:w="2340" w:type="dxa"/>
            <w:tcBorders/>
          </w:tcPr>
          <w:p>
            <w:pPr>
              <w:pStyle w:val="Body"/>
              <w:spacing w:before="120" w:after="120"/>
              <w:ind w:start="0" w:end="0"/>
              <w:rPr/>
            </w:pPr>
            <w:r>
              <w:rPr/>
              <w:t>EPMI receives escrowed amount.  TVA argues damages for past non-delivery days</w:t>
            </w:r>
          </w:p>
        </w:tc>
        <w:tc>
          <w:tcPr>
            <w:tcW w:w="1710" w:type="dxa"/>
            <w:tcBorders>
              <w:end w:val="single" w:sz="4" w:space="0" w:color="000000"/>
            </w:tcBorders>
          </w:tcPr>
          <w:p>
            <w:pPr>
              <w:pStyle w:val="Body"/>
              <w:spacing w:before="120" w:after="120"/>
              <w:ind w:start="0" w:end="0"/>
              <w:rPr/>
            </w:pPr>
            <w:r>
              <w:rPr/>
              <w:t>EPMI receives escrowed amount.  TVA not entitled to past damages</w:t>
            </w:r>
          </w:p>
        </w:tc>
      </w:tr>
      <w:tr>
        <w:trPr/>
        <w:tc>
          <w:tcPr>
            <w:tcW w:w="1800" w:type="dxa"/>
            <w:tcBorders>
              <w:start w:val="single" w:sz="4" w:space="0" w:color="000000"/>
              <w:bottom w:val="single" w:sz="4" w:space="0" w:color="000000"/>
            </w:tcBorders>
          </w:tcPr>
          <w:p>
            <w:pPr>
              <w:pStyle w:val="Body"/>
              <w:spacing w:before="120" w:after="120"/>
              <w:ind w:start="0" w:end="0"/>
              <w:rPr>
                <w:b/>
                <w:bCs/>
              </w:rPr>
            </w:pPr>
            <w:r>
              <w:rPr>
                <w:b/>
                <w:bCs/>
              </w:rPr>
              <w:t>Summary</w:t>
            </w:r>
          </w:p>
        </w:tc>
        <w:tc>
          <w:tcPr>
            <w:tcW w:w="2520" w:type="dxa"/>
            <w:tcBorders>
              <w:bottom w:val="single" w:sz="4" w:space="0" w:color="000000"/>
            </w:tcBorders>
          </w:tcPr>
          <w:p>
            <w:pPr>
              <w:pStyle w:val="Body"/>
              <w:spacing w:before="120" w:after="120"/>
              <w:ind w:start="0" w:end="0"/>
              <w:rPr/>
            </w:pPr>
            <w:r>
              <w:rPr/>
              <w:t>Damages likely capped through trial at escrowed amount.  Effectiveness of cap depends in part on how much TVA has already covered</w:t>
            </w:r>
          </w:p>
        </w:tc>
        <w:tc>
          <w:tcPr>
            <w:tcW w:w="2430" w:type="dxa"/>
            <w:tcBorders>
              <w:bottom w:val="single" w:sz="4" w:space="0" w:color="000000"/>
            </w:tcBorders>
          </w:tcPr>
          <w:p>
            <w:pPr>
              <w:pStyle w:val="Body"/>
              <w:spacing w:before="120" w:after="120"/>
              <w:ind w:start="0" w:end="0"/>
              <w:rPr/>
            </w:pPr>
            <w:r>
              <w:rPr/>
              <w:t>Damages likely capped through trial at escrowed amount but EPMI argues further reduction.  Effectiveness of cap depends in part on how much TVA has already covered</w:t>
            </w:r>
          </w:p>
        </w:tc>
        <w:tc>
          <w:tcPr>
            <w:tcW w:w="2340" w:type="dxa"/>
            <w:tcBorders>
              <w:bottom w:val="single" w:sz="4" w:space="0" w:color="000000"/>
            </w:tcBorders>
          </w:tcPr>
          <w:p>
            <w:pPr>
              <w:pStyle w:val="Body"/>
              <w:spacing w:before="120" w:after="120"/>
              <w:ind w:start="0" w:end="0"/>
              <w:rPr/>
            </w:pPr>
            <w:r>
              <w:rPr/>
              <w:t>No damages other than for prior non-delivery days</w:t>
            </w:r>
          </w:p>
        </w:tc>
        <w:tc>
          <w:tcPr>
            <w:tcW w:w="1710" w:type="dxa"/>
            <w:tcBorders>
              <w:bottom w:val="single" w:sz="4" w:space="0" w:color="000000"/>
              <w:end w:val="single" w:sz="4" w:space="0" w:color="000000"/>
            </w:tcBorders>
          </w:tcPr>
          <w:p>
            <w:pPr>
              <w:pStyle w:val="Body"/>
              <w:spacing w:before="120" w:after="120"/>
              <w:ind w:start="0" w:end="0"/>
              <w:rPr/>
            </w:pPr>
            <w:r>
              <w:rPr/>
              <w:t>No damages</w:t>
            </w:r>
          </w:p>
        </w:tc>
      </w:tr>
    </w:tbl>
    <w:p>
      <w:pPr>
        <w:pStyle w:val="Body"/>
        <w:ind w:start="0" w:end="0"/>
        <w:jc w:val="both"/>
        <w:rPr/>
      </w:pPr>
      <w:r>
        <w:rPr/>
      </w:r>
    </w:p>
    <w:p>
      <w:pPr>
        <w:pStyle w:val="Body"/>
        <w:ind w:start="0" w:end="0"/>
        <w:jc w:val="both"/>
        <w:rPr/>
      </w:pPr>
      <w:r>
        <w:rPr/>
        <w:t>At your earliest convenience, we would like to further discuss these proposals with you.  Attached to this memorandum is a draft proposal letter to TVA.  The draft proposal letter contains the Premium numbers the Trading Group is considering.  Among the issues we would like to discuss include:</w:t>
      </w:r>
    </w:p>
    <w:p>
      <w:pPr>
        <w:pStyle w:val="Body"/>
        <w:ind w:start="0" w:end="0"/>
        <w:jc w:val="both"/>
        <w:rPr/>
      </w:pPr>
      <w:r>
        <w:rPr/>
      </w:r>
    </w:p>
    <w:p>
      <w:pPr>
        <w:pStyle w:val="Body"/>
        <w:numPr>
          <w:ilvl w:val="0"/>
          <w:numId w:val="3"/>
        </w:numPr>
        <w:jc w:val="both"/>
        <w:rPr/>
      </w:pPr>
      <w:r>
        <w:rPr/>
        <w:t>The pros and cons of making an offer at this time.</w:t>
      </w:r>
    </w:p>
    <w:p>
      <w:pPr>
        <w:pStyle w:val="Body"/>
        <w:ind w:start="0" w:end="0"/>
        <w:jc w:val="both"/>
        <w:rPr/>
      </w:pPr>
      <w:r>
        <w:rPr/>
      </w:r>
    </w:p>
    <w:p>
      <w:pPr>
        <w:pStyle w:val="Body"/>
        <w:numPr>
          <w:ilvl w:val="0"/>
          <w:numId w:val="3"/>
        </w:numPr>
        <w:jc w:val="both"/>
        <w:rPr/>
      </w:pPr>
      <w:r>
        <w:rPr/>
        <w:t>The risks and benefits of making a proposal for a term good through the litigation (the "2 Year Proposal") vs. through the full MOPA term (the "6 Year Proposal").</w:t>
      </w:r>
    </w:p>
    <w:p>
      <w:pPr>
        <w:pStyle w:val="Body"/>
        <w:ind w:start="0" w:end="0"/>
        <w:jc w:val="both"/>
        <w:rPr/>
      </w:pPr>
      <w:r>
        <w:rPr/>
      </w:r>
    </w:p>
    <w:p>
      <w:pPr>
        <w:pStyle w:val="Body"/>
        <w:ind w:start="0" w:end="0"/>
        <w:jc w:val="both"/>
        <w:rPr/>
      </w:pPr>
      <w:r>
        <w:rPr/>
      </w:r>
    </w:p>
    <w:sectPr>
      <w:headerReference w:type="default" r:id="rId3"/>
      <w:headerReference w:type="first" r:id="rId4"/>
      <w:footerReference w:type="default" r:id="rId5"/>
      <w:footerReference w:type="first" r:id="rId6"/>
      <w:footnotePr>
        <w:numFmt w:val="decimal"/>
      </w:footnotePr>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spacing w:before="240" w:after="0"/>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b/>
        <w:sz w:val="12"/>
      </w:rPr>
    </w:pPr>
    <w:r>
      <w:rPr>
        <w:b/>
        <w:sz w:val="12"/>
      </w:rPr>
    </w:r>
  </w:p>
  <w:p>
    <w:pPr>
      <w:pStyle w:val="Footer"/>
      <w:tabs>
        <w:tab w:val="clear" w:pos="4320"/>
        <w:tab w:val="left" w:pos="3780" w:leader="none"/>
        <w:tab w:val="center" w:pos="7560" w:leader="none"/>
        <w:tab w:val="right" w:pos="8640" w:leader="none"/>
      </w:tabs>
      <w:rPr>
        <w:sz w:val="12"/>
      </w:rPr>
    </w:pPr>
    <w:r>
      <w:rPr>
        <w:sz w:val="12"/>
      </w:rPr>
      <w:t>Esager /tva damages</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t>Esager/tva damages</w:t>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We will need to discuss the advantages of providing a quote for just the litigation years vs. the full MOPA term.</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10800" w:leader="none"/>
      </w:tabs>
      <w:ind w:end="720"/>
      <w:rPr/>
    </w:pPr>
    <w:r>
      <w:rPr>
        <w:sz w:val="20"/>
      </w:rPr>
      <w:tab/>
    </w:r>
    <w:r>
      <w:rPr>
        <w:b/>
        <w:smallCaps/>
        <w:sz w:val="20"/>
      </w:rPr>
      <w:t>Privileged and Confidential;</w:t>
    </w:r>
  </w:p>
  <w:p>
    <w:pPr>
      <w:pStyle w:val="Header"/>
      <w:tabs>
        <w:tab w:val="clear" w:pos="4320"/>
        <w:tab w:val="clear" w:pos="8640"/>
        <w:tab w:val="right" w:pos="10800" w:leader="none"/>
      </w:tabs>
      <w:rPr>
        <w:sz w:val="20"/>
      </w:rPr>
    </w:pPr>
    <w:r>
      <w:rPr>
        <w:sz w:val="20"/>
      </w:rPr>
      <w:t>July 12, 2000</w:t>
      <w:tab/>
    </w:r>
    <w:r>
      <w:rPr>
        <w:b/>
        <w:smallCaps/>
        <w:sz w:val="20"/>
      </w:rPr>
      <w:t>Attorney Client Work Product;</w:t>
    </w:r>
  </w:p>
  <w:p>
    <w:pPr>
      <w:pStyle w:val="Header"/>
      <w:tabs>
        <w:tab w:val="clear" w:pos="4320"/>
        <w:tab w:val="clear" w:pos="8640"/>
        <w:tab w:val="right" w:pos="10800" w:leader="none"/>
      </w:tabs>
      <w:spacing w:before="0" w:after="240"/>
      <w:rPr/>
    </w:pPr>
    <w:r>
      <w:rPr>
        <w:sz w:val="20"/>
      </w:rPr>
      <w:t xml:space="preserve">Page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ab/>
    </w:r>
    <w:r>
      <w:rPr>
        <w:b/>
        <w:smallCaps/>
        <w:sz w:val="20"/>
      </w:rPr>
      <w:t>Not Discoverable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2"/>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240" w:after="0"/>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240" w:after="0"/>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2000-07-11T17:24:00Z</dcterms:created>
  <dc:creator>Jeff Ford</dc:creator>
  <dc:description/>
  <dc:language>en-CA</dc:language>
  <cp:lastModifiedBy>esager</cp:lastModifiedBy>
  <cp:lastPrinted>2000-07-12T16:30:00Z</cp:lastPrinted>
  <dcterms:modified xsi:type="dcterms:W3CDTF">2000-07-12T19:28:00Z</dcterms:modified>
  <cp:revision>17</cp:revision>
  <dc:subject>Analysis of ECT's Financial, Power and Gas Forms</dc:subject>
  <dc:title>Eron Capital &amp; Trade Resources Memo</dc:title>
</cp:coreProperties>
</file>