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3"/>
        <w:spacing w:before="100" w:after="100"/>
        <w:jc w:val="center"/>
        <w:rPr>
          <w:sz w:val="24"/>
        </w:rPr>
      </w:pPr>
      <w:r>
        <w:rPr>
          <w:sz w:val="24"/>
        </w:rPr>
      </w:r>
    </w:p>
    <w:p>
      <w:pPr>
        <w:pStyle w:val="H3"/>
        <w:jc w:val="center"/>
        <w:rPr>
          <w:sz w:val="24"/>
        </w:rPr>
      </w:pPr>
      <w:r>
        <w:rPr>
          <w:sz w:val="24"/>
        </w:rPr>
      </w:r>
    </w:p>
    <w:p>
      <w:pPr>
        <w:pStyle w:val="H3"/>
        <w:jc w:val="center"/>
        <w:rPr>
          <w:sz w:val="24"/>
        </w:rPr>
      </w:pPr>
      <w:r>
        <w:rPr>
          <w:sz w:val="24"/>
        </w:rPr>
      </w:r>
    </w:p>
    <w:p>
      <w:pPr>
        <w:pStyle w:val="H3"/>
        <w:jc w:val="center"/>
        <w:rPr>
          <w:sz w:val="24"/>
        </w:rPr>
      </w:pPr>
      <w:r>
        <w:rPr>
          <w:sz w:val="24"/>
        </w:rPr>
        <w:t>REQUEST FOR PROPOSAL</w:t>
      </w:r>
    </w:p>
    <w:p>
      <w:pPr>
        <w:pStyle w:val="H3"/>
        <w:jc w:val="center"/>
        <w:rPr>
          <w:sz w:val="24"/>
        </w:rPr>
      </w:pPr>
      <w:r>
        <w:rPr>
          <w:sz w:val="24"/>
        </w:rPr>
      </w:r>
    </w:p>
    <w:p>
      <w:pPr>
        <w:pStyle w:val="H3"/>
        <w:jc w:val="center"/>
        <w:rPr>
          <w:sz w:val="24"/>
        </w:rPr>
      </w:pPr>
      <w:r>
        <w:rPr>
          <w:sz w:val="24"/>
        </w:rPr>
        <w:t>FOR</w:t>
      </w:r>
    </w:p>
    <w:p>
      <w:pPr>
        <w:pStyle w:val="H3"/>
        <w:jc w:val="center"/>
        <w:rPr>
          <w:sz w:val="24"/>
        </w:rPr>
      </w:pPr>
      <w:r>
        <w:rPr>
          <w:sz w:val="24"/>
        </w:rPr>
      </w:r>
    </w:p>
    <w:p>
      <w:pPr>
        <w:pStyle w:val="H3"/>
        <w:jc w:val="center"/>
        <w:rPr>
          <w:sz w:val="24"/>
        </w:rPr>
      </w:pPr>
      <w:r>
        <w:rPr>
          <w:sz w:val="24"/>
        </w:rPr>
        <w:t>FIRM SUMMER PEAKING CAPACITY</w:t>
      </w:r>
    </w:p>
    <w:p>
      <w:pPr>
        <w:pStyle w:val="H3"/>
        <w:jc w:val="center"/>
        <w:rPr>
          <w:sz w:val="24"/>
        </w:rPr>
      </w:pPr>
      <w:r>
        <w:rPr>
          <w:sz w:val="24"/>
        </w:rPr>
      </w:r>
    </w:p>
    <w:p>
      <w:pPr>
        <w:pStyle w:val="H3"/>
        <w:jc w:val="center"/>
        <w:rPr>
          <w:sz w:val="24"/>
        </w:rPr>
      </w:pPr>
      <w:r>
        <w:rPr>
          <w:sz w:val="24"/>
        </w:rPr>
      </w:r>
    </w:p>
    <w:p>
      <w:pPr>
        <w:pStyle w:val="H3"/>
        <w:jc w:val="center"/>
        <w:rPr>
          <w:sz w:val="24"/>
        </w:rPr>
      </w:pPr>
      <w:r>
        <w:rPr>
          <w:sz w:val="24"/>
        </w:rPr>
      </w:r>
    </w:p>
    <w:p>
      <w:pPr>
        <w:pStyle w:val="H3"/>
        <w:jc w:val="center"/>
        <w:rPr>
          <w:sz w:val="24"/>
        </w:rPr>
      </w:pPr>
      <w:r>
        <w:rPr>
          <w:sz w:val="24"/>
        </w:rPr>
      </w:r>
    </w:p>
    <w:p>
      <w:pPr>
        <w:pStyle w:val="H3"/>
        <w:jc w:val="center"/>
        <w:rPr>
          <w:sz w:val="24"/>
        </w:rPr>
      </w:pPr>
      <w:r>
        <w:rPr>
          <w:sz w:val="24"/>
        </w:rPr>
      </w:r>
    </w:p>
    <w:p>
      <w:pPr>
        <w:pStyle w:val="H3"/>
        <w:jc w:val="center"/>
        <w:rPr>
          <w:sz w:val="24"/>
        </w:rPr>
      </w:pPr>
      <w:r>
        <w:rPr>
          <w:sz w:val="24"/>
        </w:rPr>
      </w:r>
    </w:p>
    <w:p>
      <w:pPr>
        <w:pStyle w:val="H3"/>
        <w:jc w:val="center"/>
        <w:rPr>
          <w:sz w:val="24"/>
        </w:rPr>
      </w:pPr>
      <w:r>
        <w:rPr>
          <w:sz w:val="24"/>
        </w:rPr>
      </w:r>
    </w:p>
    <w:p>
      <w:pPr>
        <w:pStyle w:val="H3"/>
        <w:jc w:val="center"/>
        <w:rPr>
          <w:sz w:val="24"/>
        </w:rPr>
      </w:pPr>
      <w:r>
        <w:rPr>
          <w:sz w:val="24"/>
        </w:rPr>
        <w:t>TENNESSEE VALLEY AUTHORITY</w:t>
      </w:r>
    </w:p>
    <w:p>
      <w:pPr>
        <w:pStyle w:val="H3"/>
        <w:jc w:val="center"/>
        <w:rPr>
          <w:sz w:val="24"/>
        </w:rPr>
      </w:pPr>
      <w:r>
        <w:rPr>
          <w:sz w:val="24"/>
        </w:rPr>
      </w:r>
    </w:p>
    <w:p>
      <w:pPr>
        <w:pStyle w:val="H3"/>
        <w:jc w:val="center"/>
        <w:rPr>
          <w:sz w:val="24"/>
        </w:rPr>
      </w:pPr>
      <w:r>
        <w:rPr>
          <w:sz w:val="24"/>
        </w:rPr>
      </w:r>
    </w:p>
    <w:p>
      <w:pPr>
        <w:pStyle w:val="H3"/>
        <w:jc w:val="center"/>
        <w:rPr>
          <w:sz w:val="24"/>
        </w:rPr>
      </w:pPr>
      <w:r>
        <w:rPr>
          <w:sz w:val="24"/>
        </w:rPr>
        <w:t>August 30, 2000</w:t>
      </w:r>
    </w:p>
    <w:p>
      <w:pPr>
        <w:pStyle w:val="H3"/>
        <w:jc w:val="center"/>
        <w:rPr>
          <w:sz w:val="24"/>
        </w:rPr>
      </w:pPr>
      <w:r>
        <w:rPr>
          <w:sz w:val="24"/>
        </w:rPr>
      </w:r>
    </w:p>
    <w:p>
      <w:pPr>
        <w:pStyle w:val="H3"/>
        <w:jc w:val="center"/>
        <w:rPr>
          <w:sz w:val="24"/>
        </w:rPr>
      </w:pPr>
      <w:r>
        <w:rPr>
          <w:sz w:val="24"/>
        </w:rPr>
      </w:r>
    </w:p>
    <w:p>
      <w:pPr>
        <w:pStyle w:val="H3"/>
        <w:jc w:val="center"/>
        <w:rPr>
          <w:sz w:val="24"/>
        </w:rPr>
      </w:pPr>
      <w:r>
        <w:rPr>
          <w:sz w:val="24"/>
        </w:rPr>
      </w:r>
    </w:p>
    <w:p>
      <w:pPr>
        <w:pStyle w:val="H3"/>
        <w:jc w:val="center"/>
        <w:rPr>
          <w:sz w:val="24"/>
        </w:rPr>
      </w:pPr>
      <w:r>
        <w:rPr>
          <w:sz w:val="24"/>
        </w:rPr>
      </w:r>
    </w:p>
    <w:p>
      <w:pPr>
        <w:pStyle w:val="H3"/>
        <w:jc w:val="center"/>
        <w:rPr>
          <w:sz w:val="24"/>
        </w:rPr>
      </w:pPr>
      <w:r>
        <w:rPr>
          <w:sz w:val="24"/>
        </w:rPr>
      </w:r>
    </w:p>
    <w:p>
      <w:pPr>
        <w:pStyle w:val="H3"/>
        <w:jc w:val="center"/>
        <w:rPr>
          <w:sz w:val="24"/>
        </w:rPr>
      </w:pPr>
      <w:r>
        <w:rPr>
          <w:sz w:val="24"/>
        </w:rPr>
      </w:r>
    </w:p>
    <w:p>
      <w:pPr>
        <w:pStyle w:val="H3"/>
        <w:jc w:val="center"/>
        <w:rPr>
          <w:sz w:val="24"/>
        </w:rPr>
      </w:pPr>
      <w:r>
        <w:rPr>
          <w:sz w:val="24"/>
        </w:rPr>
      </w:r>
    </w:p>
    <w:p>
      <w:pPr>
        <w:pStyle w:val="Normal"/>
        <w:rPr>
          <w:sz w:val="24"/>
        </w:rPr>
      </w:pPr>
      <w:r>
        <w:rPr>
          <w:sz w:val="24"/>
        </w:rPr>
      </w:r>
    </w:p>
    <w:p>
      <w:pPr>
        <w:pStyle w:val="H3"/>
        <w:jc w:val="center"/>
        <w:rPr>
          <w:b w:val="false"/>
          <w:sz w:val="24"/>
        </w:rPr>
      </w:pPr>
      <w:r>
        <w:rPr>
          <w:sz w:val="24"/>
        </w:rPr>
        <w:t>TVA Power Purchase Proposal - Request for Firm Summer Peaking Capacity</w:t>
      </w:r>
    </w:p>
    <w:p>
      <w:pPr>
        <w:pStyle w:val="Normal"/>
        <w:spacing w:lineRule="auto" w:line="480"/>
        <w:rPr>
          <w:rStyle w:val="Strong"/>
          <w:b w:val="false"/>
          <w:color w:val="000000"/>
          <w:u w:val="single"/>
        </w:rPr>
      </w:pPr>
      <w:r>
        <w:rPr>
          <w:b/>
          <w:sz w:val="24"/>
        </w:rPr>
      </w:r>
    </w:p>
    <w:p>
      <w:pPr>
        <w:pStyle w:val="Normal"/>
        <w:spacing w:lineRule="auto" w:line="480"/>
        <w:rPr/>
      </w:pPr>
      <w:r>
        <w:rPr>
          <w:rStyle w:val="Strong"/>
          <w:color w:val="000000"/>
          <w:u w:val="single"/>
        </w:rPr>
        <w:t>Purpose</w:t>
      </w:r>
      <w:r>
        <w:rPr>
          <w:color w:val="000000"/>
        </w:rPr>
        <w:t xml:space="preserve"> </w:t>
      </w:r>
    </w:p>
    <w:p>
      <w:pPr>
        <w:pStyle w:val="Normal"/>
        <w:spacing w:lineRule="auto" w:line="480"/>
        <w:rPr>
          <w:color w:val="000000"/>
        </w:rPr>
      </w:pPr>
      <w:r>
        <w:rPr>
          <w:color w:val="000000"/>
        </w:rPr>
        <w:t>Tennessee Valley Authority (TVA) is seeking a Request for Proposal (RFP) from qualified and eligible bidders to meet portions of its power supply requirements beginning in 2001 and/or 2002.  Proposals for summer (June - August) peaking capacity will be considered.  TVA favors short-term proposals for two (2) years' duration with options to extend for additional periods but will consider attractive longer term proposals.  Joint ownership proposals will not be considered.  TVA is primarily interested in proposals that will allow TVA maximum control and flexibility to call upon the resources to meet its needs.</w:t>
      </w:r>
    </w:p>
    <w:p>
      <w:pPr>
        <w:pStyle w:val="Normal"/>
        <w:spacing w:lineRule="auto" w:line="480"/>
        <w:rPr>
          <w:color w:val="000000"/>
        </w:rPr>
      </w:pPr>
      <w:r>
        <w:rPr>
          <w:color w:val="000000"/>
        </w:rPr>
        <w:t xml:space="preserve"> </w:t>
      </w:r>
    </w:p>
    <w:p>
      <w:pPr>
        <w:pStyle w:val="Normal"/>
        <w:spacing w:lineRule="auto" w:line="480"/>
        <w:rPr>
          <w:color w:val="000000"/>
        </w:rPr>
      </w:pPr>
      <w:r>
        <w:rPr>
          <w:color w:val="000000"/>
        </w:rPr>
        <w:t xml:space="preserve">Proposals must offer "firm" capacity from identified generating resources.  This RFP is open to all parties, including, but not limited to:  independent power producers, exempt wholesale generators, qualifying facilities (under PURPA), power marketers, and utilities. </w:t>
      </w:r>
    </w:p>
    <w:p>
      <w:pPr>
        <w:pStyle w:val="Normal"/>
        <w:spacing w:lineRule="auto" w:line="480"/>
        <w:rPr>
          <w:rStyle w:val="Strong"/>
          <w:color w:val="000000"/>
          <w:u w:val="single"/>
        </w:rPr>
      </w:pPr>
      <w:r>
        <w:rPr>
          <w:color w:val="000000"/>
        </w:rPr>
      </w:r>
    </w:p>
    <w:p>
      <w:pPr>
        <w:pStyle w:val="Normal"/>
        <w:spacing w:lineRule="auto" w:line="480"/>
        <w:rPr/>
      </w:pPr>
      <w:r>
        <w:rPr>
          <w:rStyle w:val="Strong"/>
          <w:color w:val="000000"/>
          <w:u w:val="single"/>
        </w:rPr>
        <w:t>Description of Capacity Requirements</w:t>
      </w:r>
      <w:r>
        <w:rPr>
          <w:color w:val="000000"/>
        </w:rPr>
        <w:t xml:space="preserve"> </w:t>
      </w:r>
    </w:p>
    <w:p>
      <w:pPr>
        <w:pStyle w:val="Normal"/>
        <w:spacing w:lineRule="auto" w:line="480"/>
        <w:rPr>
          <w:color w:val="000000"/>
        </w:rPr>
      </w:pPr>
      <w:r>
        <w:rPr>
          <w:color w:val="000000"/>
        </w:rPr>
        <w:t xml:space="preserve">TVA has a need of up to 500 MW of peaking-type capacity beginning June 1, 2001.  Proposals must be a minimum of 50 MW.  Offers of capacity and energy may be from one or more resources.  Such resources must be suitable to meet TVA's firm load and/or reserve obligations (i.e., TVA must have first-call priority for shared resources). </w:t>
      </w:r>
    </w:p>
    <w:p>
      <w:pPr>
        <w:pStyle w:val="Normal"/>
        <w:spacing w:lineRule="auto" w:line="480"/>
        <w:rPr>
          <w:color w:val="000000"/>
        </w:rPr>
      </w:pPr>
      <w:r>
        <w:rPr>
          <w:color w:val="000000"/>
        </w:rPr>
      </w:r>
    </w:p>
    <w:p>
      <w:pPr>
        <w:pStyle w:val="Normal"/>
        <w:spacing w:lineRule="auto" w:line="480"/>
        <w:rPr>
          <w:color w:val="000000"/>
        </w:rPr>
      </w:pPr>
      <w:r>
        <w:rPr>
          <w:color w:val="000000"/>
        </w:rPr>
        <w:t xml:space="preserve">TVA will not consider proposals that describe non-firm capacity. </w:t>
      </w:r>
    </w:p>
    <w:p>
      <w:pPr>
        <w:pStyle w:val="Normal"/>
        <w:spacing w:lineRule="auto" w:line="480"/>
        <w:rPr>
          <w:rStyle w:val="Strong"/>
          <w:b w:val="false"/>
          <w:color w:val="000000"/>
          <w:u w:val="single"/>
        </w:rPr>
      </w:pPr>
      <w:r>
        <w:rPr>
          <w:color w:val="000000"/>
        </w:rPr>
      </w:r>
    </w:p>
    <w:p>
      <w:pPr>
        <w:pStyle w:val="Normal"/>
        <w:spacing w:lineRule="auto" w:line="480"/>
        <w:rPr/>
      </w:pPr>
      <w:r>
        <w:rPr>
          <w:rStyle w:val="Strong"/>
          <w:color w:val="000000"/>
          <w:u w:val="single"/>
        </w:rPr>
        <w:t>Scheduling</w:t>
      </w:r>
      <w:r>
        <w:rPr>
          <w:color w:val="000000"/>
        </w:rPr>
        <w:t xml:space="preserve"> </w:t>
      </w:r>
    </w:p>
    <w:p>
      <w:pPr>
        <w:pStyle w:val="Normal"/>
        <w:spacing w:lineRule="auto" w:line="480"/>
        <w:rPr>
          <w:color w:val="000000"/>
        </w:rPr>
      </w:pPr>
      <w:r>
        <w:rPr>
          <w:color w:val="000000"/>
        </w:rPr>
        <w:t xml:space="preserve">Preference will be given to proposals that maximize scheduling flexibility, including intra-day dispatch.  This could include automatic generation control (AGC). </w:t>
      </w:r>
    </w:p>
    <w:p>
      <w:pPr>
        <w:pStyle w:val="Normal"/>
        <w:spacing w:lineRule="auto" w:line="480"/>
        <w:rPr>
          <w:rStyle w:val="Strong"/>
          <w:b w:val="false"/>
          <w:color w:val="000000"/>
          <w:u w:val="single"/>
        </w:rPr>
      </w:pPr>
      <w:r>
        <w:rPr>
          <w:color w:val="000000"/>
        </w:rPr>
      </w:r>
    </w:p>
    <w:p>
      <w:pPr>
        <w:pStyle w:val="Normal"/>
        <w:spacing w:lineRule="auto" w:line="480"/>
        <w:rPr/>
      </w:pPr>
      <w:r>
        <w:rPr>
          <w:rStyle w:val="Strong"/>
          <w:color w:val="000000"/>
          <w:u w:val="single"/>
        </w:rPr>
        <w:t>Delivery to the TVA or Southern System</w:t>
      </w:r>
      <w:r>
        <w:rPr>
          <w:color w:val="000000"/>
        </w:rPr>
        <w:t xml:space="preserve"> </w:t>
      </w:r>
    </w:p>
    <w:p>
      <w:pPr>
        <w:pStyle w:val="Normal"/>
        <w:spacing w:lineRule="auto" w:line="480"/>
        <w:rPr>
          <w:color w:val="000000"/>
        </w:rPr>
      </w:pPr>
      <w:r>
        <w:rPr>
          <w:color w:val="000000"/>
        </w:rPr>
        <w:t xml:space="preserve">TVA will only consider offers that deliver capacity and energy to the TVA transmission system or the Southern Company transmission system.  Wheeling and interconnection arrangements and costs to deliver the capacity and energy to the TVA (or Southern) transmission system delivery points are the responsibility of the bidder.  The maximum amount to be delivered to the Southern transmission system is 150 MW.  Prices quoted must be based upon net capacity delivered to the delivery point.  All proposals must identify any wheeling and interconnection agreements with third parties that are required to deliver the power and energy.  TVA requires transmission arrangements to deliver the offered capacity to be firm. </w:t>
      </w:r>
    </w:p>
    <w:p>
      <w:pPr>
        <w:pStyle w:val="Normal"/>
        <w:spacing w:lineRule="auto" w:line="480"/>
        <w:rPr>
          <w:rStyle w:val="Strong"/>
          <w:b w:val="false"/>
          <w:color w:val="000000"/>
          <w:u w:val="single"/>
        </w:rPr>
      </w:pPr>
      <w:r>
        <w:rPr>
          <w:color w:val="000000"/>
        </w:rPr>
      </w:r>
    </w:p>
    <w:p>
      <w:pPr>
        <w:pStyle w:val="Normal"/>
        <w:spacing w:lineRule="auto" w:line="480"/>
        <w:rPr/>
      </w:pPr>
      <w:r>
        <w:rPr>
          <w:rStyle w:val="Strong"/>
          <w:color w:val="000000"/>
          <w:u w:val="single"/>
        </w:rPr>
        <w:t>Pricing</w:t>
      </w:r>
      <w:r>
        <w:rPr>
          <w:color w:val="000000"/>
        </w:rPr>
        <w:t xml:space="preserve"> </w:t>
      </w:r>
    </w:p>
    <w:p>
      <w:pPr>
        <w:pStyle w:val="Normal"/>
        <w:spacing w:lineRule="auto" w:line="480"/>
        <w:rPr>
          <w:color w:val="000000"/>
        </w:rPr>
      </w:pPr>
      <w:r>
        <w:rPr>
          <w:color w:val="000000"/>
        </w:rPr>
        <w:t>All price quotes must be communicated on the attached form.  Capacity prices should be quoted in the form of a flat amount per month or nominal dollars per kilowatt-month ($/kW-month).  If capacity price is quoted on the basis of $/kW-month, the kW to which the capacity price is applied must be stated.  Non-fuel energy pricing should be quoted in nominal dollars or dollars per megawatt-hour.  The proposal shall specify the methodology for determining fuel billings, if that is utilized.  Prices quoted must include all costs that TVA would be expected to pay for the capacity and energy delivered to the delivery point.</w:t>
      </w:r>
    </w:p>
    <w:p>
      <w:pPr>
        <w:pStyle w:val="Normal"/>
        <w:spacing w:lineRule="auto" w:line="480"/>
        <w:rPr>
          <w:color w:val="000000"/>
        </w:rPr>
      </w:pPr>
      <w:r>
        <w:rPr>
          <w:color w:val="000000"/>
        </w:rPr>
      </w:r>
    </w:p>
    <w:p>
      <w:pPr>
        <w:pStyle w:val="Normal"/>
        <w:spacing w:lineRule="auto" w:line="480"/>
        <w:rPr>
          <w:color w:val="000000"/>
        </w:rPr>
      </w:pPr>
      <w:r>
        <w:rPr>
          <w:color w:val="000000"/>
        </w:rPr>
        <w:t>Various forms of energy pricing for various energy products (Unit Contingent energy, Firm LD energy, etc.) will be considered, such as:</w:t>
      </w:r>
    </w:p>
    <w:p>
      <w:pPr>
        <w:pStyle w:val="Normal"/>
        <w:numPr>
          <w:ilvl w:val="0"/>
          <w:numId w:val="3"/>
        </w:numPr>
        <w:spacing w:lineRule="auto" w:line="480"/>
        <w:rPr>
          <w:color w:val="000000"/>
        </w:rPr>
      </w:pPr>
      <w:r>
        <w:rPr>
          <w:color w:val="000000"/>
        </w:rPr>
        <w:t>Strike price based on Into TVA Daily Index</w:t>
      </w:r>
    </w:p>
    <w:p>
      <w:pPr>
        <w:pStyle w:val="Normal"/>
        <w:numPr>
          <w:ilvl w:val="0"/>
          <w:numId w:val="3"/>
        </w:numPr>
        <w:spacing w:lineRule="auto" w:line="480"/>
        <w:rPr>
          <w:color w:val="000000"/>
        </w:rPr>
      </w:pPr>
      <w:r>
        <w:rPr>
          <w:color w:val="000000"/>
        </w:rPr>
        <w:t xml:space="preserve">Strike prices at fixed price </w:t>
      </w:r>
    </w:p>
    <w:p>
      <w:pPr>
        <w:pStyle w:val="Normal"/>
        <w:numPr>
          <w:ilvl w:val="0"/>
          <w:numId w:val="3"/>
        </w:numPr>
        <w:spacing w:lineRule="auto" w:line="480"/>
        <w:rPr>
          <w:color w:val="000000"/>
        </w:rPr>
      </w:pPr>
      <w:r>
        <w:rPr>
          <w:color w:val="000000"/>
        </w:rPr>
        <w:t>Strike prices with unlimited number of calls</w:t>
      </w:r>
    </w:p>
    <w:p>
      <w:pPr>
        <w:pStyle w:val="Normal"/>
        <w:numPr>
          <w:ilvl w:val="0"/>
          <w:numId w:val="3"/>
        </w:numPr>
        <w:spacing w:lineRule="auto" w:line="480"/>
        <w:rPr>
          <w:color w:val="000000"/>
        </w:rPr>
      </w:pPr>
      <w:r>
        <w:rPr>
          <w:color w:val="000000"/>
        </w:rPr>
        <w:t>Strike prices with limited number of calls</w:t>
      </w:r>
    </w:p>
    <w:p>
      <w:pPr>
        <w:pStyle w:val="Normal"/>
        <w:numPr>
          <w:ilvl w:val="0"/>
          <w:numId w:val="3"/>
        </w:numPr>
        <w:spacing w:lineRule="auto" w:line="480"/>
        <w:rPr>
          <w:color w:val="000000"/>
        </w:rPr>
      </w:pPr>
      <w:r>
        <w:rPr>
          <w:color w:val="000000"/>
        </w:rPr>
        <w:t>Stated heat rate with gas priced at daily index</w:t>
      </w:r>
    </w:p>
    <w:p>
      <w:pPr>
        <w:pStyle w:val="Normal"/>
        <w:numPr>
          <w:ilvl w:val="0"/>
          <w:numId w:val="3"/>
        </w:numPr>
        <w:spacing w:lineRule="auto" w:line="480"/>
        <w:rPr>
          <w:color w:val="000000"/>
        </w:rPr>
      </w:pPr>
      <w:r>
        <w:rPr>
          <w:color w:val="000000"/>
        </w:rPr>
        <w:t>Actual heat rate with actual fuel costs</w:t>
      </w:r>
    </w:p>
    <w:p>
      <w:pPr>
        <w:pStyle w:val="Normal"/>
        <w:spacing w:lineRule="auto" w:line="480"/>
        <w:rPr>
          <w:color w:val="000000"/>
        </w:rPr>
      </w:pPr>
      <w:r>
        <w:rPr>
          <w:color w:val="000000"/>
        </w:rPr>
      </w:r>
    </w:p>
    <w:p>
      <w:pPr>
        <w:pStyle w:val="Normal"/>
        <w:tabs>
          <w:tab w:val="clear" w:pos="720"/>
          <w:tab w:val="left" w:pos="270" w:leader="none"/>
          <w:tab w:val="left" w:pos="1260" w:leader="none"/>
          <w:tab w:val="left" w:pos="1980" w:leader="none"/>
          <w:tab w:val="left" w:pos="5220" w:leader="none"/>
        </w:tabs>
        <w:ind w:end="-180"/>
        <w:rPr>
          <w:color w:val="000000"/>
        </w:rPr>
      </w:pPr>
      <w:r>
        <w:rPr>
          <w:color w:val="000000"/>
        </w:rPr>
        <w:t>Bidders are encouraged to propose several energy pricing options.</w:t>
      </w:r>
    </w:p>
    <w:p>
      <w:pPr>
        <w:pStyle w:val="Normal"/>
        <w:spacing w:lineRule="auto" w:line="480"/>
        <w:rPr>
          <w:color w:val="000000"/>
        </w:rPr>
      </w:pPr>
      <w:r>
        <w:rPr>
          <w:color w:val="000000"/>
        </w:rPr>
      </w:r>
    </w:p>
    <w:p>
      <w:pPr>
        <w:pStyle w:val="Normal"/>
        <w:spacing w:lineRule="auto" w:line="480"/>
        <w:rPr/>
      </w:pPr>
      <w:r>
        <w:rPr>
          <w:rStyle w:val="Strong"/>
          <w:color w:val="000000"/>
          <w:u w:val="single"/>
        </w:rPr>
        <w:t>Other Terms and Conditions</w:t>
      </w:r>
      <w:r>
        <w:rPr>
          <w:color w:val="000000"/>
        </w:rPr>
        <w:t xml:space="preserve"> </w:t>
      </w:r>
    </w:p>
    <w:p>
      <w:pPr>
        <w:pStyle w:val="Normal"/>
        <w:spacing w:lineRule="auto" w:line="480"/>
        <w:rPr>
          <w:color w:val="000000"/>
        </w:rPr>
      </w:pPr>
      <w:r>
        <w:rPr>
          <w:color w:val="000000"/>
        </w:rPr>
        <w:t xml:space="preserve">Each proposal (and correspondingly the bidder’s plant operation) must comply with all applicable federal and state laws.  All permits, licenses, fees, emissions allowances, environmental reviews, and other environmental requirements are the responsibility of the bidder for the entire term of each proposal.  Proposals must include detailed descriptions of guarantees and related remedies for failure to perform.  Each proposal must provide guarantees for in-service dates, contract capacity, heat rates (if applicable to pricing proposal), and availability.  Operational characteristics such as (but not limited to) capacity limitations, ramp limitations, maximum or minimum run-times, maximum or minimum down-times, and fuel limitations should also be specified.  If a resource included in a proposal is not yet in service, a detailed milestone schedule describing major project activities leading up to the commencement date for commercial service should also be provided. </w:t>
      </w:r>
    </w:p>
    <w:p>
      <w:pPr>
        <w:pStyle w:val="Normal"/>
        <w:spacing w:lineRule="auto" w:line="480"/>
        <w:rPr>
          <w:color w:val="000000"/>
        </w:rPr>
      </w:pPr>
      <w:r>
        <w:rPr>
          <w:color w:val="000000"/>
        </w:rPr>
      </w:r>
    </w:p>
    <w:p>
      <w:pPr>
        <w:pStyle w:val="Heading1"/>
        <w:ind w:hanging="0" w:start="0"/>
        <w:rPr/>
      </w:pPr>
      <w:r>
        <w:rPr/>
        <w:t>Credit Assurance</w:t>
      </w:r>
    </w:p>
    <w:p>
      <w:pPr>
        <w:pStyle w:val="Normal"/>
        <w:tabs>
          <w:tab w:val="clear" w:pos="720"/>
          <w:tab w:val="left" w:pos="360" w:leader="none"/>
          <w:tab w:val="left" w:pos="1260" w:leader="none"/>
          <w:tab w:val="left" w:pos="1980" w:leader="none"/>
          <w:tab w:val="left" w:pos="5220" w:leader="none"/>
        </w:tabs>
        <w:ind w:hanging="360" w:start="360" w:end="-180"/>
        <w:rPr>
          <w:color w:val="000000"/>
        </w:rPr>
      </w:pPr>
      <w:r>
        <w:rPr>
          <w:color w:val="000000"/>
        </w:rPr>
      </w:r>
    </w:p>
    <w:p>
      <w:pPr>
        <w:pStyle w:val="BodyText"/>
        <w:rPr/>
      </w:pPr>
      <w:r>
        <w:rPr/>
        <w:t>The bidder will be required to provide certain financial information in order to establish creditworthiness with TVA.  Bidders should provide the following information as part of the proposal:</w:t>
      </w:r>
    </w:p>
    <w:p>
      <w:pPr>
        <w:pStyle w:val="Normal"/>
        <w:tabs>
          <w:tab w:val="clear" w:pos="720"/>
          <w:tab w:val="left" w:pos="270" w:leader="none"/>
          <w:tab w:val="left" w:pos="1260" w:leader="none"/>
          <w:tab w:val="left" w:pos="1980" w:leader="none"/>
          <w:tab w:val="left" w:pos="5220" w:leader="none"/>
        </w:tabs>
        <w:ind w:start="720" w:end="-180"/>
        <w:rPr>
          <w:color w:val="000000"/>
        </w:rPr>
      </w:pPr>
      <w:r>
        <w:rPr>
          <w:color w:val="000000"/>
        </w:rPr>
      </w:r>
    </w:p>
    <w:p>
      <w:pPr>
        <w:pStyle w:val="Normal"/>
        <w:numPr>
          <w:ilvl w:val="0"/>
          <w:numId w:val="5"/>
        </w:numPr>
        <w:ind w:hanging="360" w:start="1080" w:end="0"/>
        <w:rPr>
          <w:color w:val="000000"/>
        </w:rPr>
      </w:pPr>
      <w:r>
        <w:rPr>
          <w:color w:val="000000"/>
        </w:rPr>
        <w:t>Audited financial statements for the three (3) preceding years that include balance sheets, income statements, statements of cash flows, and notes to the financial statements.</w:t>
        <w:br/>
      </w:r>
    </w:p>
    <w:p>
      <w:pPr>
        <w:pStyle w:val="Normal"/>
        <w:numPr>
          <w:ilvl w:val="0"/>
          <w:numId w:val="5"/>
        </w:numPr>
        <w:ind w:hanging="360" w:start="1080" w:end="0"/>
        <w:rPr>
          <w:color w:val="000000"/>
        </w:rPr>
      </w:pPr>
      <w:r>
        <w:rPr>
          <w:color w:val="000000"/>
        </w:rPr>
        <w:t>Bank name, address, phone number, and officer contact.</w:t>
        <w:br/>
      </w:r>
    </w:p>
    <w:p>
      <w:pPr>
        <w:pStyle w:val="Normal"/>
        <w:numPr>
          <w:ilvl w:val="0"/>
          <w:numId w:val="5"/>
        </w:numPr>
        <w:ind w:hanging="360" w:start="1080" w:end="0"/>
        <w:rPr>
          <w:color w:val="000000"/>
        </w:rPr>
      </w:pPr>
      <w:r>
        <w:rPr>
          <w:color w:val="000000"/>
        </w:rPr>
        <w:t>Credit references from three (3) sources that include name, address, phone number, and contact.</w:t>
        <w:br/>
      </w:r>
    </w:p>
    <w:p>
      <w:pPr>
        <w:pStyle w:val="Normal"/>
        <w:numPr>
          <w:ilvl w:val="0"/>
          <w:numId w:val="5"/>
        </w:numPr>
        <w:ind w:hanging="360" w:start="1080" w:end="0"/>
        <w:rPr>
          <w:color w:val="000000"/>
        </w:rPr>
      </w:pPr>
      <w:r>
        <w:rPr>
          <w:color w:val="000000"/>
        </w:rPr>
        <w:t>Annual report or company brochure, if available.</w:t>
      </w:r>
    </w:p>
    <w:p>
      <w:pPr>
        <w:pStyle w:val="Normal"/>
        <w:ind w:start="720" w:end="0"/>
        <w:rPr>
          <w:color w:val="000000"/>
        </w:rPr>
      </w:pPr>
      <w:r>
        <w:rPr>
          <w:color w:val="000000"/>
        </w:rPr>
      </w:r>
    </w:p>
    <w:p>
      <w:pPr>
        <w:pStyle w:val="Normal"/>
        <w:tabs>
          <w:tab w:val="clear" w:pos="720"/>
          <w:tab w:val="left" w:pos="270" w:leader="none"/>
          <w:tab w:val="left" w:pos="1260" w:leader="none"/>
          <w:tab w:val="left" w:pos="1980" w:leader="none"/>
          <w:tab w:val="left" w:pos="5220" w:leader="none"/>
        </w:tabs>
        <w:ind w:start="720" w:end="-180"/>
        <w:rPr>
          <w:color w:val="000000"/>
        </w:rPr>
      </w:pPr>
      <w:r>
        <w:rPr>
          <w:color w:val="000000"/>
        </w:rPr>
      </w:r>
    </w:p>
    <w:p>
      <w:pPr>
        <w:pStyle w:val="BodyText"/>
        <w:rPr/>
      </w:pPr>
      <w:r>
        <w:rPr/>
        <w:t xml:space="preserve">TVA requires secure and reliable physical delivery of the capacity and associated energy corresponding to all purchase power agreements.  Security and reliability of physical delivery covering both the option and the physical delivery of capacity and energy will be guaranteed by either a: </w:t>
      </w:r>
    </w:p>
    <w:p>
      <w:pPr>
        <w:pStyle w:val="Normal"/>
        <w:tabs>
          <w:tab w:val="clear" w:pos="720"/>
          <w:tab w:val="left" w:pos="270" w:leader="none"/>
          <w:tab w:val="left" w:pos="1260" w:leader="none"/>
          <w:tab w:val="left" w:pos="1980" w:leader="none"/>
          <w:tab w:val="left" w:pos="5220" w:leader="none"/>
        </w:tabs>
        <w:ind w:start="720" w:end="-180"/>
        <w:rPr>
          <w:color w:val="000000"/>
        </w:rPr>
      </w:pPr>
      <w:r>
        <w:rPr>
          <w:color w:val="000000"/>
        </w:rPr>
      </w:r>
    </w:p>
    <w:p>
      <w:pPr>
        <w:pStyle w:val="Normal"/>
        <w:numPr>
          <w:ilvl w:val="0"/>
          <w:numId w:val="2"/>
        </w:numPr>
        <w:tabs>
          <w:tab w:val="clear" w:pos="720"/>
          <w:tab w:val="left" w:pos="270" w:leader="none"/>
          <w:tab w:val="left" w:pos="1110" w:leader="none"/>
          <w:tab w:val="left" w:pos="1260" w:leader="none"/>
          <w:tab w:val="left" w:pos="1980" w:leader="none"/>
          <w:tab w:val="left" w:pos="5220" w:leader="none"/>
        </w:tabs>
        <w:ind w:hanging="390" w:start="1110" w:end="-180"/>
        <w:rPr>
          <w:color w:val="000000"/>
        </w:rPr>
      </w:pPr>
      <w:r>
        <w:rPr>
          <w:color w:val="000000"/>
        </w:rPr>
        <w:t xml:space="preserve">Letter of Credit issued by a financial institution that has a long-term debt rating by Standard &amp; Poor’s of A- or better by Moody’s Investors Service of A3 or better;  </w:t>
        <w:br/>
      </w:r>
    </w:p>
    <w:p>
      <w:pPr>
        <w:pStyle w:val="Normal"/>
        <w:numPr>
          <w:ilvl w:val="0"/>
          <w:numId w:val="2"/>
        </w:numPr>
        <w:tabs>
          <w:tab w:val="clear" w:pos="720"/>
          <w:tab w:val="left" w:pos="270" w:leader="none"/>
          <w:tab w:val="left" w:pos="1110" w:leader="none"/>
          <w:tab w:val="left" w:pos="1260" w:leader="none"/>
          <w:tab w:val="left" w:pos="1980" w:leader="none"/>
          <w:tab w:val="left" w:pos="5220" w:leader="none"/>
        </w:tabs>
        <w:ind w:hanging="390" w:start="1110" w:end="-180"/>
        <w:rPr>
          <w:color w:val="000000"/>
        </w:rPr>
      </w:pPr>
      <w:r>
        <w:rPr>
          <w:color w:val="000000"/>
        </w:rPr>
        <w:t xml:space="preserve">Guarantee issued by an entity that has a long-term debt rating by Standard &amp; Poor’s of BBB- or better by Moody’s Investors Service of Baa3 or better; </w:t>
        <w:br/>
      </w:r>
    </w:p>
    <w:p>
      <w:pPr>
        <w:pStyle w:val="Normal"/>
        <w:numPr>
          <w:ilvl w:val="0"/>
          <w:numId w:val="2"/>
        </w:numPr>
        <w:tabs>
          <w:tab w:val="clear" w:pos="720"/>
          <w:tab w:val="left" w:pos="270" w:leader="none"/>
          <w:tab w:val="left" w:pos="1110" w:leader="none"/>
          <w:tab w:val="left" w:pos="1260" w:leader="none"/>
          <w:tab w:val="left" w:pos="1980" w:leader="none"/>
          <w:tab w:val="left" w:pos="5220" w:leader="none"/>
        </w:tabs>
        <w:ind w:hanging="390" w:start="1110" w:end="-180"/>
        <w:rPr>
          <w:color w:val="000000"/>
        </w:rPr>
      </w:pPr>
      <w:r>
        <w:rPr>
          <w:color w:val="000000"/>
        </w:rPr>
        <w:t xml:space="preserve">Performance Bond issued by a insurance company or surety that has a long-term debt rating by Standard &amp; Poor’s of A- or better by Moody’s Investors Service of A3 or better; or </w:t>
        <w:br/>
      </w:r>
    </w:p>
    <w:p>
      <w:pPr>
        <w:pStyle w:val="Normal"/>
        <w:numPr>
          <w:ilvl w:val="0"/>
          <w:numId w:val="2"/>
        </w:numPr>
        <w:tabs>
          <w:tab w:val="clear" w:pos="720"/>
          <w:tab w:val="left" w:pos="270" w:leader="none"/>
          <w:tab w:val="left" w:pos="1110" w:leader="none"/>
          <w:tab w:val="left" w:pos="1260" w:leader="none"/>
          <w:tab w:val="left" w:pos="1980" w:leader="none"/>
          <w:tab w:val="left" w:pos="5220" w:leader="none"/>
        </w:tabs>
        <w:ind w:hanging="390" w:start="1110" w:end="-180"/>
        <w:rPr>
          <w:color w:val="000000"/>
        </w:rPr>
      </w:pPr>
      <w:r>
        <w:rPr>
          <w:color w:val="000000"/>
        </w:rPr>
        <w:t xml:space="preserve">Various combinations of the foregoing, as determined by TVA.  </w:t>
      </w:r>
    </w:p>
    <w:p>
      <w:pPr>
        <w:pStyle w:val="Normal"/>
        <w:tabs>
          <w:tab w:val="clear" w:pos="720"/>
          <w:tab w:val="left" w:pos="270" w:leader="none"/>
          <w:tab w:val="left" w:pos="1260" w:leader="none"/>
          <w:tab w:val="left" w:pos="1980" w:leader="none"/>
          <w:tab w:val="left" w:pos="5220" w:leader="none"/>
        </w:tabs>
        <w:ind w:start="720" w:end="-180"/>
        <w:rPr>
          <w:color w:val="000000"/>
        </w:rPr>
      </w:pPr>
      <w:r>
        <w:rPr>
          <w:color w:val="000000"/>
        </w:rPr>
      </w:r>
    </w:p>
    <w:p>
      <w:pPr>
        <w:pStyle w:val="Normal"/>
        <w:tabs>
          <w:tab w:val="clear" w:pos="720"/>
          <w:tab w:val="left" w:pos="270" w:leader="none"/>
          <w:tab w:val="left" w:pos="1260" w:leader="none"/>
          <w:tab w:val="left" w:pos="1980" w:leader="none"/>
          <w:tab w:val="left" w:pos="5220" w:leader="none"/>
        </w:tabs>
        <w:ind w:end="-180"/>
        <w:rPr>
          <w:color w:val="000000"/>
        </w:rPr>
      </w:pPr>
      <w:r>
        <w:rPr>
          <w:color w:val="000000"/>
        </w:rPr>
      </w:r>
    </w:p>
    <w:p>
      <w:pPr>
        <w:pStyle w:val="Normal"/>
        <w:spacing w:lineRule="auto" w:line="480"/>
        <w:rPr>
          <w:color w:val="000000"/>
        </w:rPr>
      </w:pPr>
      <w:r>
        <w:rPr>
          <w:color w:val="000000"/>
        </w:rPr>
        <w:t>The cost of such credit assurance must be borne by the bidder.</w:t>
      </w:r>
    </w:p>
    <w:p>
      <w:pPr>
        <w:pStyle w:val="Normal"/>
        <w:spacing w:lineRule="auto" w:line="480"/>
        <w:rPr>
          <w:color w:val="000000"/>
        </w:rPr>
      </w:pPr>
      <w:r>
        <w:rPr>
          <w:color w:val="000000"/>
        </w:rPr>
      </w:r>
    </w:p>
    <w:p>
      <w:pPr>
        <w:pStyle w:val="Normal"/>
        <w:spacing w:lineRule="auto" w:line="480"/>
        <w:rPr/>
      </w:pPr>
      <w:r>
        <w:rPr>
          <w:rStyle w:val="Strong"/>
          <w:color w:val="000000"/>
          <w:u w:val="single"/>
        </w:rPr>
        <w:t>Reservation of Rights</w:t>
      </w:r>
      <w:r>
        <w:rPr>
          <w:color w:val="000000"/>
        </w:rPr>
        <w:t xml:space="preserve"> </w:t>
      </w:r>
    </w:p>
    <w:p>
      <w:pPr>
        <w:pStyle w:val="Normal"/>
        <w:spacing w:lineRule="auto" w:line="480"/>
        <w:rPr>
          <w:color w:val="000000"/>
        </w:rPr>
      </w:pPr>
      <w:r>
        <w:rPr>
          <w:color w:val="000000"/>
        </w:rPr>
        <w:t xml:space="preserve">TVA reserves the right, without qualification and at its sole discretion, to amend or withdraw this request for offers and to reject any or all proposals or portion of proposals received.  Those who submit proposals to TVA do so without recourse against TVA for either rejection by TVA or failure to execute a purchased power agreement for any reason.  TVA also reserves the right to request further information, as necessary, to complete its evaluation of the proposals received. </w:t>
      </w:r>
    </w:p>
    <w:p>
      <w:pPr>
        <w:pStyle w:val="Normal"/>
        <w:spacing w:lineRule="auto" w:line="480"/>
        <w:rPr>
          <w:rStyle w:val="Strong"/>
          <w:b w:val="false"/>
          <w:color w:val="000000"/>
          <w:u w:val="single"/>
        </w:rPr>
      </w:pPr>
      <w:r>
        <w:rPr>
          <w:color w:val="000000"/>
        </w:rPr>
      </w:r>
    </w:p>
    <w:p>
      <w:pPr>
        <w:pStyle w:val="Normal"/>
        <w:spacing w:lineRule="auto" w:line="480"/>
        <w:rPr/>
      </w:pPr>
      <w:r>
        <w:rPr>
          <w:rStyle w:val="Strong"/>
          <w:color w:val="000000"/>
          <w:u w:val="single"/>
        </w:rPr>
        <w:t>Procedures for Application</w:t>
      </w:r>
      <w:r>
        <w:rPr>
          <w:color w:val="000000"/>
        </w:rPr>
        <w:t xml:space="preserve"> </w:t>
      </w:r>
    </w:p>
    <w:p>
      <w:pPr>
        <w:pStyle w:val="Normal"/>
        <w:tabs>
          <w:tab w:val="left" w:pos="720" w:leader="none"/>
        </w:tabs>
        <w:spacing w:lineRule="auto" w:line="480"/>
        <w:rPr>
          <w:color w:val="000000"/>
        </w:rPr>
      </w:pPr>
      <w:r>
        <w:rPr>
          <w:color w:val="000000"/>
        </w:rPr>
        <w:t xml:space="preserve">The application form is attached.  Respondents are requested to submit their proposals via e-mail to the e-mail address below.  In addition, an original proposal (to be marked so) signed by an authorized officer, plus four (4) copies must be mailed. The mailing address is: </w:t>
      </w:r>
    </w:p>
    <w:p>
      <w:pPr>
        <w:pStyle w:val="Normal"/>
        <w:numPr>
          <w:ilvl w:val="0"/>
          <w:numId w:val="4"/>
        </w:numPr>
        <w:ind w:hanging="360" w:start="1080" w:end="0"/>
        <w:rPr>
          <w:color w:val="000000"/>
        </w:rPr>
      </w:pPr>
      <w:r>
        <w:rPr>
          <w:color w:val="000000"/>
          <w:u w:val="single"/>
        </w:rPr>
        <w:t>By Courier or U.S. Mail</w:t>
        <w:br/>
      </w:r>
      <w:r>
        <w:rPr>
          <w:color w:val="000000"/>
        </w:rPr>
        <w:br/>
        <w:t>Tennessee Valley Authority</w:t>
      </w:r>
    </w:p>
    <w:p>
      <w:pPr>
        <w:pStyle w:val="Normal"/>
        <w:numPr>
          <w:ilvl w:val="0"/>
          <w:numId w:val="0"/>
        </w:numPr>
        <w:ind w:hanging="0" w:start="1080" w:end="0"/>
        <w:rPr>
          <w:color w:val="000000"/>
        </w:rPr>
      </w:pPr>
      <w:r>
        <w:rPr>
          <w:color w:val="000000"/>
        </w:rPr>
        <w:t>Attention:  Mr. Stuart L. Goza, Senior Power Marketer</w:t>
      </w:r>
    </w:p>
    <w:p>
      <w:pPr>
        <w:pStyle w:val="Normal"/>
        <w:numPr>
          <w:ilvl w:val="0"/>
          <w:numId w:val="0"/>
        </w:numPr>
        <w:ind w:hanging="0" w:start="1080" w:end="0"/>
        <w:rPr>
          <w:color w:val="000000"/>
        </w:rPr>
      </w:pPr>
      <w:r>
        <w:rPr>
          <w:color w:val="000000"/>
        </w:rPr>
        <w:t>Trading - Long Term</w:t>
      </w:r>
    </w:p>
    <w:p>
      <w:pPr>
        <w:pStyle w:val="Normal"/>
        <w:numPr>
          <w:ilvl w:val="0"/>
          <w:numId w:val="0"/>
        </w:numPr>
        <w:ind w:hanging="0" w:start="1080" w:end="0"/>
        <w:rPr>
          <w:color w:val="000000"/>
        </w:rPr>
      </w:pPr>
      <w:r>
        <w:rPr>
          <w:color w:val="000000"/>
        </w:rPr>
        <w:t>1101 Market Street, MR BK</w:t>
      </w:r>
    </w:p>
    <w:p>
      <w:pPr>
        <w:pStyle w:val="Normal"/>
        <w:numPr>
          <w:ilvl w:val="0"/>
          <w:numId w:val="0"/>
        </w:numPr>
        <w:ind w:hanging="0" w:start="1080" w:end="0"/>
        <w:rPr>
          <w:color w:val="000000"/>
        </w:rPr>
      </w:pPr>
      <w:r>
        <w:rPr>
          <w:color w:val="000000"/>
        </w:rPr>
        <w:t xml:space="preserve">Chattanooga, TN  37402-2801    </w:t>
      </w:r>
    </w:p>
    <w:p>
      <w:pPr>
        <w:pStyle w:val="Normal"/>
        <w:numPr>
          <w:ilvl w:val="0"/>
          <w:numId w:val="0"/>
        </w:numPr>
        <w:spacing w:lineRule="auto" w:line="480"/>
        <w:ind w:hanging="0" w:start="720" w:end="0"/>
        <w:rPr>
          <w:color w:val="000000"/>
        </w:rPr>
      </w:pPr>
      <w:r>
        <w:rPr>
          <w:color w:val="000000"/>
        </w:rPr>
      </w:r>
    </w:p>
    <w:p>
      <w:pPr>
        <w:pStyle w:val="Normal"/>
        <w:numPr>
          <w:ilvl w:val="0"/>
          <w:numId w:val="4"/>
        </w:numPr>
        <w:spacing w:lineRule="auto" w:line="480"/>
        <w:ind w:hanging="360" w:start="1080" w:end="0"/>
        <w:rPr>
          <w:color w:val="000000"/>
        </w:rPr>
      </w:pPr>
      <w:r>
        <w:rPr>
          <w:color w:val="000000"/>
          <w:u w:val="single"/>
        </w:rPr>
        <w:t>By e-mail</w:t>
      </w:r>
      <w:r>
        <w:rPr>
          <w:color w:val="000000"/>
        </w:rPr>
        <w:br/>
        <w:t xml:space="preserve">slgoza@tva.gov </w:t>
      </w:r>
    </w:p>
    <w:p>
      <w:pPr>
        <w:pStyle w:val="Normal"/>
        <w:spacing w:lineRule="auto" w:line="480"/>
        <w:ind w:start="1080" w:end="0"/>
        <w:rPr>
          <w:color w:val="000000"/>
        </w:rPr>
      </w:pPr>
      <w:r>
        <w:rPr>
          <w:color w:val="000000"/>
        </w:rPr>
      </w:r>
    </w:p>
    <w:p>
      <w:pPr>
        <w:pStyle w:val="BodyText2"/>
        <w:rPr/>
      </w:pPr>
      <w:r>
        <w:rPr/>
        <w:t xml:space="preserve">All proposals must arrive via e-mail by October 2, 2000.  Paper copies must arrive at TVA's Chattanooga office by the same date.  TVA is not obligated to contact bidders concerning missing or incomplete forms.  Only versions of the form attached to this RFP may be used to submit proposals. </w:t>
      </w:r>
    </w:p>
    <w:p>
      <w:pPr>
        <w:pStyle w:val="Normal"/>
        <w:tabs>
          <w:tab w:val="clear" w:pos="720"/>
          <w:tab w:val="left" w:pos="540" w:leader="none"/>
        </w:tabs>
        <w:spacing w:lineRule="auto" w:line="480"/>
        <w:rPr>
          <w:color w:val="000000"/>
        </w:rPr>
      </w:pPr>
      <w:r>
        <w:rPr>
          <w:color w:val="000000"/>
        </w:rPr>
      </w:r>
    </w:p>
    <w:p>
      <w:pPr>
        <w:pStyle w:val="BodyText2"/>
        <w:tabs>
          <w:tab w:val="clear" w:pos="540"/>
          <w:tab w:val="left" w:pos="1170" w:leader="none"/>
        </w:tabs>
        <w:rPr/>
      </w:pPr>
      <w:r>
        <w:rPr/>
        <w:t xml:space="preserve">The bidder must designate a contact person with whom TVA can communicate with questions about the proposal. </w:t>
      </w:r>
    </w:p>
    <w:p>
      <w:pPr>
        <w:pStyle w:val="Normal"/>
        <w:tabs>
          <w:tab w:val="clear" w:pos="720"/>
          <w:tab w:val="left" w:pos="1170" w:leader="none"/>
        </w:tabs>
        <w:spacing w:lineRule="auto" w:line="480"/>
        <w:rPr>
          <w:color w:val="000000"/>
        </w:rPr>
      </w:pPr>
      <w:r>
        <w:rPr>
          <w:color w:val="000000"/>
        </w:rPr>
      </w:r>
    </w:p>
    <w:p>
      <w:pPr>
        <w:pStyle w:val="BodyText2"/>
        <w:tabs>
          <w:tab w:val="clear" w:pos="540"/>
          <w:tab w:val="left" w:pos="1260" w:leader="none"/>
          <w:tab w:val="left" w:pos="1440" w:leader="none"/>
        </w:tabs>
        <w:rPr/>
      </w:pPr>
      <w:r>
        <w:rPr/>
        <w:t xml:space="preserve">All offer packages should include any additional information required to support evaluation of the proposal.  Documents requested in support of the Credit Assurance must accompany the mailed versions of the proposals. </w:t>
      </w:r>
    </w:p>
    <w:p>
      <w:pPr>
        <w:pStyle w:val="Normal"/>
        <w:tabs>
          <w:tab w:val="clear" w:pos="720"/>
          <w:tab w:val="left" w:pos="1350" w:leader="none"/>
        </w:tabs>
        <w:spacing w:lineRule="auto" w:line="480"/>
        <w:rPr>
          <w:color w:val="000000"/>
        </w:rPr>
      </w:pPr>
      <w:r>
        <w:rPr>
          <w:color w:val="000000"/>
        </w:rPr>
      </w:r>
    </w:p>
    <w:p>
      <w:pPr>
        <w:pStyle w:val="Normal"/>
        <w:spacing w:lineRule="auto" w:line="480"/>
        <w:rPr/>
      </w:pPr>
      <w:r>
        <w:rPr>
          <w:rStyle w:val="Strong"/>
          <w:color w:val="000000"/>
          <w:u w:val="single"/>
        </w:rPr>
        <w:t>Confidentiality</w:t>
      </w:r>
      <w:r>
        <w:rPr>
          <w:color w:val="000000"/>
        </w:rPr>
        <w:t xml:space="preserve"> </w:t>
      </w:r>
    </w:p>
    <w:p>
      <w:pPr>
        <w:pStyle w:val="Normal"/>
        <w:spacing w:lineRule="auto" w:line="480"/>
        <w:rPr>
          <w:color w:val="000000"/>
        </w:rPr>
      </w:pPr>
      <w:r>
        <w:rPr>
          <w:color w:val="000000"/>
        </w:rPr>
        <w:t>TVA recognizes that certain information contained in proposals submitted may be confidential and, as permitted by applicable law, will treat each proposal in its entirety as confidential.  If TVA is formally requested and required by any regulatory or judicial authority to disclose information with regard to a proposal, TVA will disclose such information in accordance with applicable laws and regulations.</w:t>
      </w:r>
    </w:p>
    <w:p>
      <w:pPr>
        <w:pStyle w:val="Normal"/>
        <w:spacing w:lineRule="auto" w:line="480"/>
        <w:rPr>
          <w:color w:val="000000"/>
        </w:rPr>
      </w:pPr>
      <w:r>
        <w:rPr>
          <w:color w:val="000000"/>
        </w:rPr>
        <w:t xml:space="preserve"> </w:t>
      </w:r>
    </w:p>
    <w:p>
      <w:pPr>
        <w:pStyle w:val="Normal"/>
        <w:spacing w:lineRule="auto" w:line="480"/>
        <w:rPr>
          <w:color w:val="000000"/>
        </w:rPr>
      </w:pPr>
      <w:r>
        <w:rPr>
          <w:color w:val="000000"/>
        </w:rPr>
        <w:t>TVA also reserves the right to disclose any or all of the information submitted in response to this request to any consultant(s) retained by TVA to assist with the various aspects of this process.  TVA will take reasonable steps to ensure that its consultant(s) will also treat information received from bidders as confidential; however, TVA will not be liable for any failure of any consultants(s) to do so.</w:t>
      </w:r>
    </w:p>
    <w:p>
      <w:pPr>
        <w:pStyle w:val="Normal"/>
        <w:spacing w:lineRule="auto" w:line="480"/>
        <w:rPr>
          <w:color w:val="000000"/>
        </w:rPr>
      </w:pPr>
      <w:r>
        <w:rPr>
          <w:color w:val="000000"/>
        </w:rPr>
      </w:r>
    </w:p>
    <w:p>
      <w:pPr>
        <w:pStyle w:val="Normal"/>
        <w:spacing w:lineRule="auto" w:line="480"/>
        <w:rPr/>
      </w:pPr>
      <w:r>
        <w:rPr>
          <w:rStyle w:val="Strong"/>
          <w:color w:val="000000"/>
          <w:u w:val="single"/>
        </w:rPr>
        <w:t>Communication</w:t>
      </w:r>
      <w:r>
        <w:rPr>
          <w:color w:val="000000"/>
        </w:rPr>
        <w:t xml:space="preserve"> </w:t>
      </w:r>
    </w:p>
    <w:p>
      <w:pPr>
        <w:pStyle w:val="Normal"/>
        <w:spacing w:lineRule="auto" w:line="480"/>
        <w:rPr>
          <w:color w:val="000000"/>
        </w:rPr>
      </w:pPr>
      <w:r>
        <w:rPr>
          <w:color w:val="000000"/>
        </w:rPr>
        <w:t>TVA expects to identify a short list by November 1, 2000, and negotiations with those bidders are expected to be completed by February 1, 2001.  Contracts detailing the terms and conditions of the completed capacity power purchase agreements are expected to be executed by March 30, 2001.</w:t>
      </w:r>
    </w:p>
    <w:p>
      <w:pPr>
        <w:pStyle w:val="Normal"/>
        <w:spacing w:lineRule="auto" w:line="480"/>
        <w:rPr>
          <w:color w:val="000000"/>
        </w:rPr>
      </w:pPr>
      <w:r>
        <w:rPr>
          <w:color w:val="000000"/>
        </w:rPr>
      </w:r>
    </w:p>
    <w:p>
      <w:pPr>
        <w:pStyle w:val="Normal"/>
        <w:spacing w:lineRule="auto" w:line="480"/>
        <w:rPr>
          <w:color w:val="000000"/>
        </w:rPr>
      </w:pPr>
      <w:r>
        <w:rPr>
          <w:color w:val="000000"/>
        </w:rPr>
        <w:t>This RFP is also available by e-mail, fax, or U.S. mail.</w:t>
      </w:r>
    </w:p>
    <w:p>
      <w:pPr>
        <w:pStyle w:val="Normal"/>
        <w:spacing w:lineRule="auto" w:line="480"/>
        <w:rPr>
          <w:color w:val="000000"/>
        </w:rPr>
      </w:pPr>
      <w:r>
        <w:rPr>
          <w:color w:val="000000"/>
        </w:rPr>
        <w:t xml:space="preserve"> </w:t>
      </w:r>
    </w:p>
    <w:p>
      <w:pPr>
        <w:pStyle w:val="Normal"/>
        <w:spacing w:lineRule="auto" w:line="480"/>
        <w:rPr>
          <w:color w:val="000000"/>
        </w:rPr>
      </w:pPr>
      <w:r>
        <w:rPr>
          <w:color w:val="000000"/>
        </w:rPr>
        <w:t>If interested parties have any questions or desire any additional information related to this RFP, such questions or requests should be made in writing and directed via fax to (423) 751-7501 or via e-mail to the address above to Mr. Stuart L. Goza, Senior Power Marketer, Trading – Long Term.</w:t>
      </w:r>
    </w:p>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30"/>
        </w:tabs>
        <w:ind w:start="1830" w:hanging="390"/>
      </w:pPr>
      <w:rPr/>
    </w:lvl>
  </w:abstractNum>
  <w:abstractNum w:abstractNumId="3">
    <w:lvl w:ilvl="0">
      <w:numFmt w:val="bullet"/>
      <w:lvlText w:val=""/>
      <w:lvlJc w:val="start"/>
      <w:pPr>
        <w:tabs>
          <w:tab w:val="num" w:pos="360"/>
        </w:tabs>
        <w:ind w:start="1080" w:hanging="360"/>
      </w:pPr>
      <w:rPr>
        <w:rFonts w:ascii="Symbol" w:hAnsi="Symbol" w:cs="Symbol" w:hint="default"/>
        <w:sz w:val="24"/>
        <w:i w:val="false"/>
        <w:u w:val="none"/>
        <w:b w:val="false"/>
        <w:color w:val="000000"/>
      </w:rPr>
    </w:lvl>
  </w:abstractNum>
  <w:abstractNum w:abstractNumId="4">
    <w:lvl w:ilvl="0">
      <w:numFmt w:val="bullet"/>
      <w:lvlText w:val=""/>
      <w:lvlJc w:val="start"/>
      <w:pPr>
        <w:tabs>
          <w:tab w:val="num" w:pos="360"/>
        </w:tabs>
        <w:ind w:start="1440" w:hanging="360"/>
      </w:pPr>
      <w:rPr>
        <w:rFonts w:ascii="Symbol" w:hAnsi="Symbol" w:cs="Symbol" w:hint="default"/>
      </w:rPr>
    </w:lvl>
  </w:abstractNum>
  <w:abstractNum w:abstractNumId="5">
    <w:lvl w:ilvl="0">
      <w:numFmt w:val="bullet"/>
      <w:lvlText w:val=""/>
      <w:lvlJc w:val="start"/>
      <w:pPr>
        <w:tabs>
          <w:tab w:val="num" w:pos="36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color w:val="000000"/>
      <w:u w:val="single"/>
    </w:rPr>
  </w:style>
  <w:style w:type="character" w:styleId="WW8Num2z0">
    <w:name w:val="WW8Num2z0"/>
    <w:qFormat/>
    <w:rPr/>
  </w:style>
  <w:style w:type="character" w:styleId="WW8NumSt1z0">
    <w:name w:val="WW8NumSt1z0"/>
    <w:qFormat/>
    <w:rPr>
      <w:rFonts w:ascii="Symbol" w:hAnsi="Symbol" w:cs="Symbol"/>
      <w:b w:val="false"/>
      <w:i w:val="false"/>
      <w:color w:val="000000"/>
      <w:sz w:val="24"/>
      <w:u w:val="none"/>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Hyperlink">
    <w:name w:val="Hyperlink"/>
    <w:rPr>
      <w:color w:val="0000FF"/>
      <w:u w:val="single"/>
    </w:rPr>
  </w:style>
  <w:style w:type="character" w:styleId="Strong">
    <w:name w:val="Strong"/>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70" w:leader="none"/>
        <w:tab w:val="left" w:pos="1260" w:leader="none"/>
        <w:tab w:val="left" w:pos="1980" w:leader="none"/>
        <w:tab w:val="left" w:pos="5220" w:leader="none"/>
      </w:tabs>
      <w:spacing w:lineRule="auto" w:line="480"/>
      <w:ind w:hanging="0" w:start="0" w:end="-187"/>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40" w:leader="none"/>
      </w:tabs>
      <w:spacing w:lineRule="auto" w:line="480"/>
    </w:pPr>
    <w:rPr>
      <w:color w:val="00000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2000-08-30T13:48:00Z</dcterms:created>
  <dc:creator>TECO</dc:creator>
  <dc:description/>
  <dc:language>en-CA</dc:language>
  <cp:lastModifiedBy>dwhilson</cp:lastModifiedBy>
  <cp:lastPrinted>2000-08-28T15:43:00Z</cp:lastPrinted>
  <dcterms:modified xsi:type="dcterms:W3CDTF">2000-08-30T13:48:00Z</dcterms:modified>
  <cp:revision>2</cp:revision>
  <dc:subject/>
  <dc:title>DRAFT 8/8/00</dc:title>
</cp:coreProperties>
</file>