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w:t>
      </w:r>
      <w:r>
        <w:rPr>
          <w:sz w:val="24"/>
        </w:rPr>
        <w:t>DRAFT—</w:t>
      </w:r>
    </w:p>
    <w:p>
      <w:pPr>
        <w:pStyle w:val="Heading"/>
        <w:rPr>
          <w:sz w:val="24"/>
        </w:rPr>
      </w:pPr>
      <w:r>
        <w:rPr>
          <w:sz w:val="24"/>
        </w:rPr>
      </w:r>
    </w:p>
    <w:p>
      <w:pPr>
        <w:pStyle w:val="Heading"/>
        <w:rPr>
          <w:sz w:val="24"/>
        </w:rPr>
      </w:pPr>
      <w:r>
        <w:rPr>
          <w:sz w:val="24"/>
        </w:rPr>
        <w:t>Tennessee Valley Authority</w:t>
      </w:r>
    </w:p>
    <w:p>
      <w:pPr>
        <w:pStyle w:val="Heading"/>
        <w:rPr>
          <w:sz w:val="24"/>
        </w:rPr>
      </w:pPr>
      <w:r>
        <w:rPr>
          <w:sz w:val="24"/>
        </w:rPr>
        <w:t>Control Area Dispute</w:t>
      </w:r>
    </w:p>
    <w:p>
      <w:pPr>
        <w:pStyle w:val="Normal"/>
        <w:jc w:val="center"/>
        <w:rPr>
          <w:rFonts w:ascii="Times New Roman" w:hAnsi="Times New Roman" w:cs="Times New Roman"/>
          <w:b/>
          <w:sz w:val="24"/>
        </w:rPr>
      </w:pPr>
      <w:r>
        <w:rPr>
          <w:rFonts w:cs="Times New Roman" w:ascii="Times New Roman" w:hAnsi="Times New Roman"/>
          <w:b/>
          <w:sz w:val="24"/>
        </w:rPr>
        <w:t>Questions and Answers</w:t>
      </w:r>
    </w:p>
    <w:p>
      <w:pPr>
        <w:pStyle w:val="Heading1"/>
        <w:ind w:hanging="0" w:start="0"/>
        <w:rPr>
          <w:sz w:val="24"/>
        </w:rPr>
      </w:pPr>
      <w:r>
        <w:rPr>
          <w:sz w:val="24"/>
        </w:rPr>
        <w:t>January 2000</w:t>
      </w:r>
    </w:p>
    <w:p>
      <w:pPr>
        <w:pStyle w:val="Heading2"/>
        <w:ind w:hanging="0" w:start="0"/>
        <w:rPr>
          <w:sz w:val="24"/>
        </w:rPr>
      </w:pPr>
      <w:r>
        <w:rPr>
          <w:sz w:val="24"/>
        </w:rPr>
        <w:t>For Internal Use Only</w:t>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numPr>
          <w:ilvl w:val="0"/>
          <w:numId w:val="2"/>
        </w:numPr>
        <w:rPr>
          <w:rFonts w:ascii="Times New Roman" w:hAnsi="Times New Roman" w:cs="Times New Roman"/>
          <w:b/>
          <w:sz w:val="24"/>
        </w:rPr>
      </w:pPr>
      <w:r>
        <w:rPr>
          <w:rFonts w:cs="Times New Roman" w:ascii="Times New Roman" w:hAnsi="Times New Roman"/>
          <w:b/>
          <w:sz w:val="24"/>
        </w:rPr>
        <w:t>Why is Enron filing suit against the Tennessee Valley Authority (TVA)?</w:t>
      </w:r>
    </w:p>
    <w:p>
      <w:pPr>
        <w:pStyle w:val="BodyTextIndent"/>
        <w:rPr>
          <w:rFonts w:ascii="Times New Roman" w:hAnsi="Times New Roman" w:cs="Times New Roman"/>
          <w:b/>
          <w:sz w:val="24"/>
        </w:rPr>
      </w:pPr>
      <w:r>
        <w:rPr>
          <w:rFonts w:cs="Times New Roman"/>
          <w:b/>
          <w:sz w:val="24"/>
        </w:rPr>
      </w:r>
    </w:p>
    <w:p>
      <w:pPr>
        <w:pStyle w:val="BodyTextIndent"/>
        <w:rPr/>
      </w:pPr>
      <w:r>
        <w:rPr/>
        <w:t>Because of TVA’s willful misconduct, Enron missed out on significant market opportunities during the peak electrical season of 1999.  During this period, TVA intentionally interfered with and hindered Enron’s efforts to sell, market and schedule power deliveries within Enron’s “control areas.”  TVA’s actions prevented Enron from rightfully competing with TVA to potentially offer customers less expensive power.  TVA is clearly in violation of its contractual obligations to Enron as well as NERC policy.</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ind w:start="360" w:end="0"/>
        <w:rPr>
          <w:rFonts w:ascii="Times New Roman" w:hAnsi="Times New Roman" w:cs="Times New Roman"/>
          <w:sz w:val="24"/>
        </w:rPr>
      </w:pPr>
      <w:r>
        <w:rPr>
          <w:rFonts w:cs="Times New Roman" w:ascii="Times New Roman" w:hAnsi="Times New Roman"/>
          <w:sz w:val="24"/>
        </w:rPr>
      </w:r>
    </w:p>
    <w:p>
      <w:pPr>
        <w:pStyle w:val="BodyTextIndent2"/>
        <w:numPr>
          <w:ilvl w:val="0"/>
          <w:numId w:val="2"/>
        </w:numPr>
        <w:jc w:val="start"/>
        <w:rPr>
          <w:b/>
        </w:rPr>
      </w:pPr>
      <w:r>
        <w:rPr>
          <w:b/>
        </w:rPr>
        <w:t>What is a “control area,” and what is its significance?</w:t>
      </w:r>
    </w:p>
    <w:p>
      <w:pPr>
        <w:pStyle w:val="BodyTextIndent2"/>
        <w:jc w:val="start"/>
        <w:rPr>
          <w:b/>
        </w:rPr>
      </w:pPr>
      <w:r>
        <w:rPr>
          <w:b/>
        </w:rPr>
      </w:r>
    </w:p>
    <w:p>
      <w:pPr>
        <w:pStyle w:val="BodyTextIndent2"/>
        <w:jc w:val="start"/>
        <w:rPr/>
      </w:pPr>
      <w:r>
        <w:rPr/>
        <w:t>A control area, as defined by the North American Energy Reliability Council (NERC), is an electrical system bounded by interconnection (tie-line) metering and telemetry.  It controls its generation directly to maintain its planned interchange with other control areas and helps regulate the frequency of the interconnection.</w:t>
      </w:r>
      <w:r>
        <w:rPr>
          <w:i/>
        </w:rPr>
        <w:t xml:space="preserve">  </w:t>
      </w:r>
      <w:r>
        <w:rPr/>
        <w:t>In order to become a certified control area, certain requirements must be met, including the operation of generation, metered connections with other control areas, and a control center that is staffed 24 hours per day.</w:t>
      </w:r>
    </w:p>
    <w:p>
      <w:pPr>
        <w:pStyle w:val="BodyTextIndent2"/>
        <w:jc w:val="start"/>
        <w:rPr/>
      </w:pPr>
      <w:r>
        <w:rPr/>
      </w:r>
    </w:p>
    <w:p>
      <w:pPr>
        <w:pStyle w:val="BodyTextIndent2"/>
        <w:jc w:val="start"/>
        <w:rPr/>
      </w:pPr>
      <w:r>
        <w:rPr/>
        <w:t>Enron owns and markets power from three electrical generation facilities in the southeast U.S.  They are located in Brownsville, Tennessee; Caledonia, Mississippi; and New Albany, Mississippi.  All three facilities and their associated generation and transmission systems and equipment were designated control areas by the Southeastern Electric Reliability Council (SERC) in summer 1999.  Each is connected to TVA’s control area via a separate transmission line.</w:t>
      </w:r>
    </w:p>
    <w:p>
      <w:pPr>
        <w:pStyle w:val="BodyTextIndent2"/>
        <w:jc w:val="start"/>
        <w:rPr/>
      </w:pPr>
      <w:r>
        <w:rPr/>
      </w:r>
    </w:p>
    <w:p>
      <w:pPr>
        <w:pStyle w:val="BodyTextIndent2"/>
        <w:jc w:val="start"/>
        <w:rPr/>
      </w:pPr>
      <w:r>
        <w:rPr/>
        <w:t>Because these three facilities were set up in accordance with the rules and regulations required for control areas, Enron should be afforded the same rights and privileges in operating its control area as other control area operators.  TVA deliberately prevented Enron from doing this.</w:t>
      </w:r>
    </w:p>
    <w:p>
      <w:pPr>
        <w:pStyle w:val="BodyTextIndent2"/>
        <w:jc w:val="start"/>
        <w:rPr/>
      </w:pPr>
      <w:r>
        <w:rPr/>
      </w:r>
      <w:r>
        <w:br w:type="page"/>
      </w:r>
    </w:p>
    <w:p>
      <w:pPr>
        <w:pStyle w:val="BodyTextIndent2"/>
        <w:jc w:val="start"/>
        <w:rPr/>
      </w:pPr>
      <w:r>
        <w:rPr/>
      </w:r>
    </w:p>
    <w:p>
      <w:pPr>
        <w:pStyle w:val="BodyTextIndent2"/>
        <w:numPr>
          <w:ilvl w:val="0"/>
          <w:numId w:val="2"/>
        </w:numPr>
        <w:jc w:val="start"/>
        <w:rPr>
          <w:b/>
        </w:rPr>
      </w:pPr>
      <w:r>
        <w:rPr>
          <w:b/>
        </w:rPr>
        <w:t>How is TVA hindering Enron’s ability to operate within its control areas?</w:t>
      </w:r>
    </w:p>
    <w:p>
      <w:pPr>
        <w:pStyle w:val="BodyTextIndent2"/>
        <w:jc w:val="start"/>
        <w:rPr>
          <w:b/>
        </w:rPr>
      </w:pPr>
      <w:r>
        <w:rPr>
          <w:b/>
        </w:rPr>
      </w:r>
    </w:p>
    <w:p>
      <w:pPr>
        <w:pStyle w:val="BodyTextIndent2"/>
        <w:jc w:val="start"/>
        <w:rPr/>
      </w:pPr>
      <w:r>
        <w:rPr/>
        <w:t xml:space="preserve">In order to deliver or schedule power from a control area, there must be sufficient available transfer capability (ATC), or transmission capacity.  From June 1 through June 22, 1999, TVA posted a reasonable ATC for the Enron Brownsville/TVA interconnection point.  </w:t>
      </w:r>
    </w:p>
    <w:p>
      <w:pPr>
        <w:pStyle w:val="BodyTextIndent2"/>
        <w:jc w:val="start"/>
        <w:rPr/>
      </w:pPr>
      <w:r>
        <w:rPr/>
      </w:r>
    </w:p>
    <w:p>
      <w:pPr>
        <w:pStyle w:val="BodyTextIndent2"/>
        <w:jc w:val="start"/>
        <w:rPr/>
      </w:pPr>
      <w:r>
        <w:rPr/>
        <w:t xml:space="preserve">From June 22 through November 1999, TVA drastically understated the ATC of the interconnection points between Enron’s control areas and TVA’s control area, and continued to do so for Enron’s control areas in New Albany and Caledonia once they were established in mid-July.  This inhibited Enron’s ability to operate its control area and caused Enron to suffer substantial losses.  By improperly calculating and posting the available capacity, TVA is in violation of NERC policy.  </w:t>
      </w:r>
    </w:p>
    <w:p>
      <w:pPr>
        <w:pStyle w:val="BodyTextIndent2"/>
        <w:jc w:val="start"/>
        <w:rPr/>
      </w:pPr>
      <w:r>
        <w:rPr/>
      </w:r>
    </w:p>
    <w:p>
      <w:pPr>
        <w:pStyle w:val="BodyTextIndent2"/>
        <w:jc w:val="start"/>
        <w:rPr/>
      </w:pPr>
      <w:r>
        <w:rPr/>
        <w:t>Enron appealed to NERC, and in October 1999, a special NERC task force ruled in Enron’s favor on all issues raised in this matter.  In December 1999, the task force reaffirmed its ruling in Enron’s favor.</w:t>
      </w:r>
    </w:p>
    <w:p>
      <w:pPr>
        <w:pStyle w:val="BodyTextIndent2"/>
        <w:jc w:val="start"/>
        <w:rPr/>
      </w:pPr>
      <w:r>
        <w:rPr/>
      </w:r>
    </w:p>
    <w:p>
      <w:pPr>
        <w:pStyle w:val="BodyTextIndent2"/>
        <w:jc w:val="start"/>
        <w:rPr/>
      </w:pPr>
      <w:r>
        <w:rPr/>
      </w:r>
    </w:p>
    <w:p>
      <w:pPr>
        <w:pStyle w:val="BodyTextIndent2"/>
        <w:numPr>
          <w:ilvl w:val="0"/>
          <w:numId w:val="2"/>
        </w:numPr>
        <w:jc w:val="start"/>
        <w:rPr>
          <w:b/>
        </w:rPr>
      </w:pPr>
      <w:r>
        <w:rPr>
          <w:b/>
        </w:rPr>
        <w:t>What is the purpose of the NERC task force and what entity has oversight over control area operation?</w:t>
      </w:r>
    </w:p>
    <w:p>
      <w:pPr>
        <w:pStyle w:val="BodyTextIndent2"/>
        <w:jc w:val="start"/>
        <w:rPr>
          <w:b/>
        </w:rPr>
      </w:pPr>
      <w:r>
        <w:rPr>
          <w:b/>
        </w:rPr>
      </w:r>
    </w:p>
    <w:p>
      <w:pPr>
        <w:pStyle w:val="BodyTextIndent2"/>
        <w:jc w:val="start"/>
        <w:rPr/>
      </w:pPr>
      <w:r>
        <w:rPr/>
        <w:t xml:space="preserve">NERC established a Policy Interpretation Task Force in September 1999 to provide interpretation of existing NERC policies regarding control areas and related issues.  NERC has also established a Control Area Criteria Task Force to examine the issues relative to control areas and the evolving competitive electricity market.  </w:t>
      </w:r>
    </w:p>
    <w:p>
      <w:pPr>
        <w:pStyle w:val="BodyTextIndent2"/>
        <w:jc w:val="start"/>
        <w:rPr/>
      </w:pPr>
      <w:r>
        <w:rPr/>
      </w:r>
    </w:p>
    <w:p>
      <w:pPr>
        <w:pStyle w:val="BodyTextIndent2"/>
        <w:jc w:val="start"/>
        <w:rPr/>
      </w:pPr>
      <w:r>
        <w:rPr/>
        <w:t>The Southeast Reliability Council (SERC) is the entity that is charged with certification for control areas in its region.  Other reliability councils perform that duty for their regional control areas.  All of the various regional reliability councils must conform to NERC policy.</w:t>
      </w:r>
    </w:p>
    <w:p>
      <w:pPr>
        <w:pStyle w:val="BodyTextIndent2"/>
        <w:jc w:val="start"/>
        <w:rPr/>
      </w:pPr>
      <w:r>
        <w:rPr/>
      </w:r>
    </w:p>
    <w:p>
      <w:pPr>
        <w:pStyle w:val="BodyTextIndent2"/>
        <w:jc w:val="start"/>
        <w:rPr/>
      </w:pPr>
      <w:r>
        <w:rPr/>
      </w:r>
    </w:p>
    <w:p>
      <w:pPr>
        <w:pStyle w:val="BodyTextIndent2"/>
        <w:numPr>
          <w:ilvl w:val="0"/>
          <w:numId w:val="2"/>
        </w:numPr>
        <w:jc w:val="start"/>
        <w:rPr>
          <w:b/>
        </w:rPr>
      </w:pPr>
      <w:r>
        <w:rPr>
          <w:b/>
        </w:rPr>
        <w:t>What restitution is Enron seeking?  How much money has it lost?</w:t>
      </w:r>
    </w:p>
    <w:p>
      <w:pPr>
        <w:pStyle w:val="BodyTextIndent2"/>
        <w:jc w:val="start"/>
        <w:rPr>
          <w:b/>
        </w:rPr>
      </w:pPr>
      <w:r>
        <w:rPr>
          <w:b/>
        </w:rPr>
      </w:r>
    </w:p>
    <w:p>
      <w:pPr>
        <w:pStyle w:val="BodyTextIndent2"/>
        <w:jc w:val="start"/>
        <w:rPr/>
      </w:pPr>
      <w:r>
        <w:rPr/>
        <w:t xml:space="preserve">Because TVA’s wrongful misconduct barred Enron from rightfully competing in the electricity market during the 1999 peak season, Enron is seeking damages for lost profits.  </w:t>
      </w:r>
    </w:p>
    <w:p>
      <w:pPr>
        <w:pStyle w:val="BodyTextIndent2"/>
        <w:jc w:val="start"/>
        <w:rPr/>
      </w:pPr>
      <w:r>
        <w:rPr/>
      </w:r>
    </w:p>
    <w:p>
      <w:pPr>
        <w:pStyle w:val="BodyTextIndent2"/>
        <w:jc w:val="start"/>
        <w:rPr/>
      </w:pPr>
      <w:r>
        <w:rPr>
          <w:i/>
        </w:rPr>
        <w:t xml:space="preserve">If pressed:  </w:t>
      </w:r>
      <w:r>
        <w:rPr/>
        <w:t>Enron estimates its lost profits related to this matter to be tens of millions of dollars.</w:t>
      </w:r>
    </w:p>
    <w:p>
      <w:pPr>
        <w:pStyle w:val="BodyTextIndent2"/>
        <w:jc w:val="start"/>
        <w:rPr/>
      </w:pPr>
      <w:r>
        <w:rPr/>
      </w:r>
      <w:r>
        <w:br w:type="page"/>
      </w:r>
    </w:p>
    <w:p>
      <w:pPr>
        <w:pStyle w:val="BodyTextIndent2"/>
        <w:jc w:val="start"/>
        <w:rPr/>
      </w:pPr>
      <w:r>
        <w:rPr/>
      </w:r>
    </w:p>
    <w:p>
      <w:pPr>
        <w:pStyle w:val="BodyTextIndent2"/>
        <w:numPr>
          <w:ilvl w:val="0"/>
          <w:numId w:val="2"/>
        </w:numPr>
        <w:jc w:val="start"/>
        <w:rPr>
          <w:b/>
        </w:rPr>
      </w:pPr>
      <w:r>
        <w:rPr>
          <w:b/>
        </w:rPr>
        <w:t>Is TVA now abiding by the control area policies?</w:t>
      </w:r>
    </w:p>
    <w:p>
      <w:pPr>
        <w:pStyle w:val="BodyTextIndent2"/>
        <w:jc w:val="start"/>
        <w:rPr>
          <w:b/>
        </w:rPr>
      </w:pPr>
      <w:r>
        <w:rPr>
          <w:b/>
        </w:rPr>
      </w:r>
    </w:p>
    <w:p>
      <w:pPr>
        <w:pStyle w:val="BodyTextIndent2"/>
        <w:jc w:val="start"/>
        <w:rPr/>
      </w:pPr>
      <w:r>
        <w:rPr/>
        <w:t>Following the ruling by NERC, TVA began posting accurate ATC values , allowing Enron to properly operate its control area.  Enron expects that TVA will continue to abide by NERC’s policies in the future.</w:t>
      </w:r>
    </w:p>
    <w:p>
      <w:pPr>
        <w:pStyle w:val="BodyTextIndent2"/>
        <w:jc w:val="start"/>
        <w:rPr/>
      </w:pPr>
      <w:r>
        <w:rPr/>
      </w:r>
    </w:p>
    <w:p>
      <w:pPr>
        <w:pStyle w:val="BodyTextIndent2"/>
        <w:jc w:val="start"/>
        <w:rPr/>
      </w:pPr>
      <w:r>
        <w:rPr/>
      </w:r>
    </w:p>
    <w:p>
      <w:pPr>
        <w:pStyle w:val="BodyTextIndent2"/>
        <w:numPr>
          <w:ilvl w:val="0"/>
          <w:numId w:val="2"/>
        </w:numPr>
        <w:jc w:val="start"/>
        <w:rPr>
          <w:b/>
        </w:rPr>
      </w:pPr>
      <w:r>
        <w:rPr>
          <w:b/>
        </w:rPr>
        <w:t>What is Enron’s relationship with TVA?</w:t>
      </w:r>
    </w:p>
    <w:p>
      <w:pPr>
        <w:pStyle w:val="BodyTextIndent2"/>
        <w:jc w:val="start"/>
        <w:rPr>
          <w:b/>
        </w:rPr>
      </w:pPr>
      <w:r>
        <w:rPr>
          <w:b/>
        </w:rPr>
      </w:r>
    </w:p>
    <w:p>
      <w:pPr>
        <w:pStyle w:val="BodyTextIndent2"/>
        <w:jc w:val="start"/>
        <w:rPr/>
      </w:pPr>
      <w:r>
        <w:rPr/>
        <w:t>Enron and TVA have been working together since _____(year), primarily buying and selling power from one another.  Enron has also been working with TVA on the development of its southeast peaking plants.</w:t>
      </w:r>
    </w:p>
    <w:p>
      <w:pPr>
        <w:pStyle w:val="BodyTextIndent2"/>
        <w:jc w:val="start"/>
        <w:rPr/>
      </w:pPr>
      <w:r>
        <w:rPr/>
      </w:r>
    </w:p>
    <w:p>
      <w:pPr>
        <w:pStyle w:val="BodyTextIndent2"/>
        <w:numPr>
          <w:ilvl w:val="0"/>
          <w:numId w:val="2"/>
        </w:numPr>
        <w:jc w:val="start"/>
        <w:rPr>
          <w:b/>
        </w:rPr>
      </w:pPr>
      <w:r>
        <w:rPr>
          <w:b/>
        </w:rPr>
        <w:t>What is the dispute between Enron and TVA regarding an energy option purchase agreement?</w:t>
      </w:r>
    </w:p>
    <w:p>
      <w:pPr>
        <w:pStyle w:val="BodyTextIndent2"/>
        <w:jc w:val="start"/>
        <w:rPr>
          <w:b/>
        </w:rPr>
      </w:pPr>
      <w:r>
        <w:rPr>
          <w:b/>
        </w:rPr>
      </w:r>
    </w:p>
    <w:p>
      <w:pPr>
        <w:pStyle w:val="BodyText"/>
        <w:ind w:start="360" w:end="0"/>
        <w:jc w:val="start"/>
        <w:rPr/>
      </w:pPr>
      <w:r>
        <w:rPr/>
        <w:t>Enron and TVA are currently involved in a private, contractual dispute.  Details regarding this matter are not being disclosed.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8"/>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i/>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b/>
      <w:sz w:val="28"/>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Times New Roman" w:hAnsi="Times New Roman" w:cs="Times New Roman"/>
      <w:sz w:val="24"/>
    </w:rPr>
  </w:style>
  <w:style w:type="paragraph" w:styleId="BodyTextIndent2">
    <w:name w:val="Body Text Indent 2"/>
    <w:basedOn w:val="Normal"/>
    <w:qFormat/>
    <w:pPr>
      <w:ind w:hanging="0" w:start="36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2000-01-05T18:27:00Z</dcterms:created>
  <dc:creator>smansfi</dc:creator>
  <dc:description/>
  <dc:language>en-CA</dc:language>
  <cp:lastModifiedBy>kdenne</cp:lastModifiedBy>
  <cp:lastPrinted>2000-01-07T14:55:00Z</cp:lastPrinted>
  <dcterms:modified xsi:type="dcterms:W3CDTF">2000-01-11T19:40:00Z</dcterms:modified>
  <cp:revision>11</cp:revision>
  <dc:subject/>
  <dc:title>TVA Lawsuit</dc:title>
</cp:coreProperties>
</file>