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00" w:after="0"/>
        <w:jc w:val="center"/>
        <w:rPr>
          <w:sz w:val="24"/>
        </w:rPr>
      </w:pPr>
      <w:r>
        <w:rPr>
          <w:sz w:val="24"/>
        </w:rPr>
        <w:t>February 15, 2000</w:t>
      </w:r>
    </w:p>
    <w:p>
      <w:pPr>
        <w:pStyle w:val="Heading1"/>
        <w:widowControl/>
        <w:spacing w:before="480" w:after="0"/>
        <w:ind w:hanging="0" w:start="0"/>
        <w:rPr>
          <w:smallCaps/>
        </w:rPr>
      </w:pPr>
      <w:r>
        <w:rPr>
          <w:smallCaps/>
        </w:rPr>
        <w:t>VIA Telecopy</w:t>
      </w:r>
    </w:p>
    <w:p>
      <w:pPr>
        <w:pStyle w:val="Heading2"/>
        <w:ind w:hanging="0" w:start="0"/>
        <w:rPr/>
      </w:pPr>
      <w:r>
        <w:rPr/>
        <w:t>Tennessee Valley Authority</w:t>
      </w:r>
    </w:p>
    <w:p>
      <w:pPr>
        <w:pStyle w:val="Normal"/>
        <w:jc w:val="both"/>
        <w:rPr>
          <w:sz w:val="24"/>
        </w:rPr>
      </w:pPr>
      <w:r>
        <w:rPr>
          <w:sz w:val="24"/>
        </w:rPr>
        <w:t>1101 Market Street</w:t>
      </w:r>
    </w:p>
    <w:p>
      <w:pPr>
        <w:pStyle w:val="Normal"/>
        <w:jc w:val="both"/>
        <w:rPr>
          <w:sz w:val="24"/>
        </w:rPr>
      </w:pPr>
      <w:r>
        <w:rPr>
          <w:sz w:val="24"/>
        </w:rPr>
        <w:t>Chattanooga, Tennessee 37402-2601</w:t>
      </w:r>
    </w:p>
    <w:p>
      <w:pPr>
        <w:pStyle w:val="Normal"/>
        <w:jc w:val="both"/>
        <w:rPr>
          <w:sz w:val="24"/>
        </w:rPr>
      </w:pPr>
      <w:r>
        <w:rPr>
          <w:sz w:val="24"/>
        </w:rPr>
        <w:t>Attention:  Electric System Operations</w:t>
      </w:r>
    </w:p>
    <w:p>
      <w:pPr>
        <w:pStyle w:val="Normal"/>
        <w:spacing w:before="120" w:after="0"/>
        <w:jc w:val="both"/>
        <w:rPr>
          <w:sz w:val="24"/>
        </w:rPr>
      </w:pPr>
      <w:r>
        <w:rPr>
          <w:sz w:val="24"/>
        </w:rPr>
        <w:t>Tennessee Valley Authority</w:t>
      </w:r>
    </w:p>
    <w:p>
      <w:pPr>
        <w:pStyle w:val="Normal"/>
        <w:jc w:val="both"/>
        <w:rPr>
          <w:sz w:val="24"/>
        </w:rPr>
      </w:pPr>
      <w:r>
        <w:rPr>
          <w:sz w:val="24"/>
        </w:rPr>
        <w:t>1101 Market Street, MR BK</w:t>
      </w:r>
    </w:p>
    <w:p>
      <w:pPr>
        <w:pStyle w:val="Heading2"/>
        <w:spacing w:before="0" w:after="0"/>
        <w:ind w:hanging="0" w:start="0"/>
        <w:rPr/>
      </w:pPr>
      <w:r>
        <w:rPr/>
        <w:t>Chattanooga, Tennessee  37402-2801</w:t>
      </w:r>
    </w:p>
    <w:p>
      <w:pPr>
        <w:pStyle w:val="Normal"/>
        <w:jc w:val="both"/>
        <w:rPr>
          <w:sz w:val="24"/>
        </w:rPr>
      </w:pPr>
      <w:r>
        <w:rPr>
          <w:sz w:val="24"/>
        </w:rPr>
        <w:t>Attention:  Mr. Gary Jackson</w:t>
      </w:r>
    </w:p>
    <w:p>
      <w:pPr>
        <w:pStyle w:val="BodyText2"/>
        <w:widowControl/>
        <w:ind w:hanging="720" w:start="1440" w:end="0"/>
        <w:rPr/>
      </w:pPr>
      <w:r>
        <w:rPr/>
        <w:t>Re:</w:t>
        <w:tab/>
        <w:t>December 6, 1995 Master Option Purchase Agreement by and between Enron Power Marketing, Inc. and Tennessee Valley Authority</w:t>
      </w:r>
    </w:p>
    <w:p>
      <w:pPr>
        <w:pStyle w:val="Normal"/>
        <w:spacing w:before="240" w:after="0"/>
        <w:jc w:val="both"/>
        <w:rPr>
          <w:sz w:val="24"/>
        </w:rPr>
      </w:pPr>
      <w:r>
        <w:rPr>
          <w:sz w:val="24"/>
        </w:rPr>
        <w:t>Gentlemen:</w:t>
      </w:r>
    </w:p>
    <w:p>
      <w:pPr>
        <w:pStyle w:val="Normal"/>
        <w:spacing w:before="240" w:after="0"/>
        <w:jc w:val="both"/>
        <w:rPr>
          <w:sz w:val="24"/>
        </w:rPr>
      </w:pPr>
      <w:r>
        <w:rPr>
          <w:sz w:val="24"/>
        </w:rPr>
        <w:tab/>
        <w:t>This letter is in response to Mr. Gary Jackson’s letter dated February 10, 2000 regarding Enron Power Marketing, Inc’s (EPMI) invoice for December 1999 service under the Master Option Purchase Agreement (MOPA).  In the letter, Tennessee Valley Authority (TVA) does not in any way dispute the sums invoiced by EPMI for service under the MOPA in December 1999 .  Rather TVA asserts that it intends to “offset” EPMI’s December invoice against certain unspecified alleged “damages” that TVA claims to have incurred.  For the reasons set forth below, EPMI rejects TVA’s assertion of a right to offset and demands payment of its invoice for December 1999 service.</w:t>
      </w:r>
    </w:p>
    <w:p>
      <w:pPr>
        <w:pStyle w:val="BodyText"/>
        <w:rPr/>
      </w:pPr>
      <w:r>
        <w:rPr/>
        <w:tab/>
        <w:t>The right to offset under the MOPA is controlled by section 6.6 which provides in pertinent part that:</w:t>
      </w:r>
    </w:p>
    <w:p>
      <w:pPr>
        <w:pStyle w:val="Normal"/>
        <w:spacing w:before="120" w:after="0"/>
        <w:ind w:start="1440" w:end="1440"/>
        <w:jc w:val="both"/>
        <w:rPr/>
      </w:pPr>
      <w:r>
        <w:rPr>
          <w:sz w:val="24"/>
        </w:rPr>
        <w:t xml:space="preserve">All </w:t>
      </w:r>
      <w:r>
        <w:rPr>
          <w:sz w:val="24"/>
          <w:u w:val="single"/>
        </w:rPr>
        <w:t>obligations to make payment</w:t>
      </w:r>
      <w:r>
        <w:rPr>
          <w:sz w:val="24"/>
        </w:rPr>
        <w:t xml:space="preserve"> in connection with or under this Agreement </w:t>
      </w:r>
      <w:r>
        <w:rPr>
          <w:sz w:val="24"/>
          <w:u w:val="single"/>
        </w:rPr>
        <w:t>may be offset against each other</w:t>
      </w:r>
      <w:r>
        <w:rPr>
          <w:sz w:val="24"/>
        </w:rPr>
        <w:t>, set off, or recouped from those other payments.</w:t>
      </w:r>
    </w:p>
    <w:p>
      <w:pPr>
        <w:pStyle w:val="Normal"/>
        <w:spacing w:before="120" w:after="0"/>
        <w:jc w:val="both"/>
        <w:rPr/>
      </w:pPr>
      <w:r>
        <w:rPr>
          <w:sz w:val="24"/>
        </w:rPr>
        <w:t xml:space="preserve">Accordingly, the parties’ agreement expressly provides that an “obligation to make payment” under the MOPA can </w:t>
      </w:r>
      <w:r>
        <w:rPr>
          <w:sz w:val="24"/>
          <w:u w:val="single"/>
        </w:rPr>
        <w:t>only</w:t>
      </w:r>
      <w:r>
        <w:rPr>
          <w:sz w:val="24"/>
        </w:rPr>
        <w:t xml:space="preserve"> be offset by another “obligation to make payment” under the MOPA.  In other words, where no fixed obligation exists under the MOPA to pay a certain sum that is claimed to be owed, that sum cannot be used as an offset against another sum for which a fixed obligation to pay </w:t>
      </w:r>
      <w:r>
        <w:rPr>
          <w:sz w:val="24"/>
          <w:u w:val="single"/>
        </w:rPr>
        <w:t>does</w:t>
      </w:r>
      <w:r>
        <w:rPr>
          <w:sz w:val="24"/>
        </w:rPr>
        <w:t xml:space="preserve"> exist under the MOPA.</w:t>
      </w:r>
    </w:p>
    <w:p>
      <w:pPr>
        <w:pStyle w:val="Normal"/>
        <w:spacing w:before="120" w:after="0"/>
        <w:jc w:val="both"/>
        <w:rPr>
          <w:sz w:val="24"/>
        </w:rPr>
      </w:pPr>
      <w:r>
        <w:rPr>
          <w:sz w:val="24"/>
        </w:rPr>
        <w:tab/>
        <w:t>Section 8.2 sets forth the procedures and criteria governing how a claim for payment can ripen into an “obligation to make payment” under the MOPA.  The alleged “damages” set forth in your letter of February 10, 2000 do not constitute an “obligation to make payment” under the MOPA that is eligible for offset because, among other things, TVA has neither invoiced EPMI for these alleged damages pursuant to section 8.2(a), nor has EPMI been given an opportunity to dispute any such invoiced for alleged damages pursuant to section 8.2(c).  Consequently, under the unambiguous terms of the MOPA,  TVA has no right to refuse to make payment on EPMI’s invoice for December 1999 based on a claim of offset.</w:t>
      </w:r>
    </w:p>
    <w:p>
      <w:pPr>
        <w:pStyle w:val="Normal"/>
        <w:spacing w:before="120" w:after="0"/>
        <w:jc w:val="both"/>
        <w:rPr>
          <w:sz w:val="24"/>
        </w:rPr>
      </w:pPr>
      <w:r>
        <w:rPr>
          <w:sz w:val="24"/>
        </w:rPr>
        <w:tab/>
        <w:t>EPMI’s invoice for December 1999 service remains due and owing.  TVA’s letter of January 10, 2000 does not constitute notice of a good faith dispute of this invoice.  Accordingly, EPMI requests that TVA remedy its failure to pay the invoice for December 1999 service by making payment in full without further delay.</w:t>
      </w:r>
    </w:p>
    <w:p>
      <w:pPr>
        <w:pStyle w:val="Normal"/>
        <w:spacing w:before="240" w:after="0"/>
        <w:ind w:start="4320" w:end="0"/>
        <w:jc w:val="both"/>
        <w:rPr>
          <w:sz w:val="24"/>
        </w:rPr>
      </w:pPr>
      <w:r>
        <w:rPr>
          <w:sz w:val="24"/>
        </w:rPr>
        <w:t>Very truly yours,</w:t>
      </w:r>
    </w:p>
    <w:p>
      <w:pPr>
        <w:pStyle w:val="Normal"/>
        <w:spacing w:before="240" w:after="0"/>
        <w:ind w:start="4320" w:end="0"/>
        <w:jc w:val="both"/>
        <w:rPr>
          <w:sz w:val="24"/>
        </w:rPr>
      </w:pPr>
      <w:r>
        <w:rPr>
          <w:sz w:val="24"/>
        </w:rPr>
      </w:r>
    </w:p>
    <w:p>
      <w:pPr>
        <w:pStyle w:val="Heading2"/>
        <w:spacing w:before="360" w:after="0"/>
        <w:ind w:hanging="0" w:start="4320" w:end="0"/>
        <w:rPr/>
      </w:pPr>
      <w:r>
        <w:rPr/>
        <w:t>James B. Fallon</w:t>
      </w:r>
    </w:p>
    <w:p>
      <w:pPr>
        <w:pStyle w:val="Normal"/>
        <w:ind w:start="4320" w:end="0"/>
        <w:jc w:val="both"/>
        <w:rPr>
          <w:sz w:val="24"/>
        </w:rPr>
      </w:pPr>
      <w:r>
        <w:rPr>
          <w:sz w:val="24"/>
        </w:rPr>
        <w:t>Managing Director</w:t>
      </w:r>
    </w:p>
    <w:p>
      <w:pPr>
        <w:pStyle w:val="Normal"/>
        <w:ind w:start="4320" w:end="0"/>
        <w:jc w:val="both"/>
        <w:rPr>
          <w:sz w:val="24"/>
        </w:rPr>
      </w:pPr>
      <w:r>
        <w:rPr>
          <w:sz w:val="24"/>
        </w:rPr>
      </w:r>
      <w:r>
        <w:br w:type="page"/>
      </w:r>
    </w:p>
    <w:p>
      <w:pPr>
        <w:pStyle w:val="Normal"/>
        <w:jc w:val="both"/>
        <w:rPr>
          <w:sz w:val="24"/>
        </w:rPr>
      </w:pPr>
      <w:r>
        <w:rPr>
          <w:sz w:val="24"/>
        </w:rPr>
        <w:t>bcc:</w:t>
        <w:tab/>
        <w:t>Jim Fallon</w:t>
      </w:r>
    </w:p>
    <w:p>
      <w:pPr>
        <w:pStyle w:val="Normal"/>
        <w:jc w:val="both"/>
        <w:rPr>
          <w:sz w:val="24"/>
        </w:rPr>
      </w:pPr>
      <w:r>
        <w:rPr>
          <w:sz w:val="24"/>
        </w:rPr>
        <w:tab/>
        <w:t>Kevin Presto</w:t>
      </w:r>
    </w:p>
    <w:p>
      <w:pPr>
        <w:pStyle w:val="Normal"/>
        <w:jc w:val="both"/>
        <w:rPr>
          <w:sz w:val="24"/>
        </w:rPr>
      </w:pPr>
      <w:r>
        <w:rPr>
          <w:sz w:val="24"/>
        </w:rPr>
        <w:tab/>
        <w:t>Rogers Herndon</w:t>
      </w:r>
    </w:p>
    <w:p>
      <w:pPr>
        <w:pStyle w:val="Heading2"/>
        <w:spacing w:before="0" w:after="0"/>
        <w:ind w:hanging="0" w:start="0"/>
        <w:rPr/>
      </w:pPr>
      <w:r>
        <w:rPr/>
        <w:tab/>
        <w:t>Richard Sanders</w:t>
      </w:r>
    </w:p>
    <w:p>
      <w:pPr>
        <w:pStyle w:val="Normal"/>
        <w:jc w:val="both"/>
        <w:rPr>
          <w:sz w:val="24"/>
        </w:rPr>
      </w:pPr>
      <w:r>
        <w:rPr>
          <w:sz w:val="24"/>
        </w:rPr>
        <w:tab/>
        <w:t>Bob Madden</w:t>
      </w:r>
    </w:p>
    <w:p>
      <w:pPr>
        <w:pStyle w:val="Normal"/>
        <w:jc w:val="both"/>
        <w:rPr>
          <w:sz w:val="24"/>
        </w:rPr>
      </w:pPr>
      <w:r>
        <w:rPr>
          <w:sz w:val="24"/>
        </w:rPr>
        <w:tab/>
        <w:t>Jeff Alexander</w:t>
      </w:r>
    </w:p>
    <w:p>
      <w:pPr>
        <w:pStyle w:val="Heading2"/>
        <w:widowControl w:val="false"/>
        <w:spacing w:before="0" w:after="0"/>
        <w:ind w:hanging="0" w:start="0"/>
        <w:rPr/>
      </w:pPr>
      <w:r>
        <w:rPr/>
        <w:tab/>
        <w:t>Greg Whalley</w:t>
      </w:r>
    </w:p>
    <w:p>
      <w:pPr>
        <w:pStyle w:val="Normal"/>
        <w:spacing w:before="120" w:after="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/mnt/main-storage/datasets/enron-docs/doc/TVA5.doc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/mnt/main-storage/datasets/enron-docs/doc/TVA5.doc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Tennessee Valley Authority</w:t>
    </w:r>
  </w:p>
  <w:p>
    <w:pPr>
      <w:pStyle w:val="Header"/>
      <w:rPr/>
    </w:pPr>
    <w:r>
      <w:rPr/>
      <w:t>February 15,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widowControl w:val="false"/>
      <w:numPr>
        <w:ilvl w:val="0"/>
        <w:numId w:val="1"/>
      </w:numPr>
      <w:spacing w:before="720" w:after="0"/>
      <w:jc w:val="both"/>
      <w:outlineLvl w:val="0"/>
    </w:pPr>
    <w:rPr>
      <w:b/>
      <w:sz w:val="24"/>
      <w:u w:val="single"/>
    </w:rPr>
  </w:style>
  <w:style w:type="paragraph" w:styleId="Heading2">
    <w:name w:val="heading 2"/>
    <w:basedOn w:val="Normal"/>
    <w:next w:val="Normal"/>
    <w:qFormat/>
    <w:pPr>
      <w:keepNext w:val="true"/>
      <w:numPr>
        <w:ilvl w:val="1"/>
        <w:numId w:val="1"/>
      </w:numPr>
      <w:spacing w:before="120" w:after="0"/>
      <w:jc w:val="both"/>
      <w:outlineLvl w:val="1"/>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spacing w:before="240" w:after="0"/>
      <w:ind w:hanging="540" w:start="1260" w:end="0"/>
      <w:jc w:val="both"/>
    </w:pPr>
    <w:rPr>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2000-02-16T11:44:00Z</dcterms:created>
  <dc:creator>Brenda Whitehead</dc:creator>
  <dc:description/>
  <dc:language>en-CA</dc:language>
  <cp:lastModifiedBy>Brenda Whitehead</cp:lastModifiedBy>
  <cp:lastPrinted>2000-02-16T08:32:00Z</cp:lastPrinted>
  <dcterms:modified xsi:type="dcterms:W3CDTF">2000-02-16T12:02:00Z</dcterms:modified>
  <cp:revision>3</cp:revision>
  <dc:subject/>
  <dc:title>February 15, 2000</dc:title>
</cp:coreProperties>
</file>