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00" w:after="0"/>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ing1"/>
        <w:widowControl/>
        <w:ind w:hanging="0" w:start="0"/>
        <w:rPr>
          <w:smallCaps/>
          <w:sz w:val="22"/>
        </w:rPr>
      </w:pPr>
      <w:r>
        <w:rPr>
          <w:smallCaps/>
          <w:sz w:val="22"/>
        </w:rPr>
        <w:t>VIA Telecopy</w:t>
      </w:r>
    </w:p>
    <w:p>
      <w:pPr>
        <w:pStyle w:val="Normal"/>
        <w:widowControl/>
        <w:spacing w:before="240" w:after="0"/>
        <w:jc w:val="both"/>
        <w:rPr>
          <w:sz w:val="22"/>
        </w:rPr>
      </w:pPr>
      <w:r>
        <w:rPr>
          <w:sz w:val="22"/>
        </w:rPr>
        <w:t>Tennessee Valley Authority</w:t>
      </w:r>
    </w:p>
    <w:p>
      <w:pPr>
        <w:pStyle w:val="Normal"/>
        <w:widowControl/>
        <w:jc w:val="both"/>
        <w:rPr>
          <w:sz w:val="22"/>
        </w:rPr>
      </w:pPr>
      <w:r>
        <w:rPr>
          <w:sz w:val="22"/>
        </w:rPr>
        <w:t>1101 Market Street</w:t>
      </w:r>
    </w:p>
    <w:p>
      <w:pPr>
        <w:pStyle w:val="Normal"/>
        <w:widowControl/>
        <w:jc w:val="both"/>
        <w:rPr>
          <w:sz w:val="22"/>
        </w:rPr>
      </w:pPr>
      <w:r>
        <w:rPr>
          <w:sz w:val="22"/>
        </w:rPr>
        <w:t>Chattanooga, Tennessee 37402-2601</w:t>
      </w:r>
    </w:p>
    <w:p>
      <w:pPr>
        <w:pStyle w:val="Normal"/>
        <w:widowControl/>
        <w:jc w:val="both"/>
        <w:rPr>
          <w:sz w:val="22"/>
        </w:rPr>
      </w:pPr>
      <w:r>
        <w:rPr>
          <w:sz w:val="22"/>
        </w:rPr>
        <w:t>Attention:  Electric System Operations</w:t>
      </w:r>
    </w:p>
    <w:p>
      <w:pPr>
        <w:pStyle w:val="Normal"/>
        <w:widowControl/>
        <w:spacing w:before="240" w:after="0"/>
        <w:jc w:val="both"/>
        <w:rPr>
          <w:sz w:val="22"/>
        </w:rPr>
      </w:pPr>
      <w:r>
        <w:rPr>
          <w:sz w:val="22"/>
        </w:rPr>
        <w:t>Tennessee Valley Authority</w:t>
      </w:r>
    </w:p>
    <w:p>
      <w:pPr>
        <w:pStyle w:val="Normal"/>
        <w:widowControl/>
        <w:jc w:val="both"/>
        <w:rPr>
          <w:sz w:val="22"/>
        </w:rPr>
      </w:pPr>
      <w:r>
        <w:rPr>
          <w:sz w:val="22"/>
        </w:rPr>
        <w:t>1101 Market Street, MR BK</w:t>
      </w:r>
    </w:p>
    <w:p>
      <w:pPr>
        <w:pStyle w:val="Normal"/>
        <w:widowControl/>
        <w:jc w:val="both"/>
        <w:rPr>
          <w:sz w:val="22"/>
        </w:rPr>
      </w:pPr>
      <w:r>
        <w:rPr>
          <w:sz w:val="22"/>
        </w:rPr>
        <w:t>Chattanooga, Tennessee  37402-2801</w:t>
      </w:r>
    </w:p>
    <w:p>
      <w:pPr>
        <w:pStyle w:val="Normal"/>
        <w:widowControl/>
        <w:jc w:val="both"/>
        <w:rPr>
          <w:sz w:val="22"/>
        </w:rPr>
      </w:pPr>
      <w:r>
        <w:rPr>
          <w:sz w:val="22"/>
        </w:rPr>
        <w:t>Attention:  Mr. Gary Jackson</w:t>
      </w:r>
    </w:p>
    <w:p>
      <w:pPr>
        <w:pStyle w:val="BodyTextIndent"/>
        <w:widowControl/>
        <w:rPr/>
      </w:pPr>
      <w:r>
        <w:rPr/>
        <w:t>Re:</w:t>
        <w:tab/>
        <w:t xml:space="preserve">December 6, 1995 Master Option Purchase Agreement by and between Enron Power Marketing, Inc. and Tennessee Valley Authority </w:t>
      </w:r>
    </w:p>
    <w:p>
      <w:pPr>
        <w:pStyle w:val="Normal"/>
        <w:jc w:val="both"/>
        <w:rPr/>
      </w:pPr>
      <w:r>
        <w:rPr/>
      </w:r>
    </w:p>
    <w:p>
      <w:pPr>
        <w:pStyle w:val="Normal"/>
        <w:jc w:val="both"/>
        <w:rPr/>
      </w:pPr>
      <w:r>
        <w:rPr/>
        <w:t>Gentlemen:</w:t>
      </w:r>
    </w:p>
    <w:p>
      <w:pPr>
        <w:pStyle w:val="Normal"/>
        <w:jc w:val="both"/>
        <w:rPr/>
      </w:pPr>
      <w:r>
        <w:rPr/>
      </w:r>
    </w:p>
    <w:p>
      <w:pPr>
        <w:pStyle w:val="Normal"/>
        <w:ind w:firstLine="720" w:end="0"/>
        <w:jc w:val="both"/>
        <w:rPr/>
      </w:pPr>
      <w:r>
        <w:rPr/>
        <w:t xml:space="preserve">I am writing to follow up on our letter of January 6, 2000.  In that letter, we explained that a Triggering Event as defined in section 6.1 and 6.3 of the Master Option Purchase Agreement (the </w:t>
      </w:r>
      <w:r>
        <w:rPr>
          <w:rFonts w:cs="WP TypographicSymbols" w:ascii="WP TypographicSymbols" w:hAnsi="WP TypographicSymbols"/>
        </w:rPr>
        <w:sym w:font="WP TypographicSymbols" w:char="f041"/>
      </w:r>
      <w:r>
        <w:rPr/>
        <w:t>MOPA</w:t>
      </w:r>
      <w:r>
        <w:rPr>
          <w:rFonts w:cs="WP TypographicSymbols" w:ascii="WP TypographicSymbols" w:hAnsi="WP TypographicSymbols"/>
        </w:rPr>
        <w:sym w:font="WP TypographicSymbols" w:char="f040"/>
      </w:r>
      <w:r>
        <w:rPr/>
        <w:t>) between the Tennessee Valley Authority  ("TVA") and Enron Power Marketing, Inc. (</w:t>
      </w:r>
      <w:r>
        <w:rPr>
          <w:rFonts w:cs="WP TypographicSymbols" w:ascii="WP TypographicSymbols" w:hAnsi="WP TypographicSymbols"/>
        </w:rPr>
        <w:sym w:font="WP TypographicSymbols" w:char="f041"/>
      </w:r>
      <w:r>
        <w:rPr/>
        <w:t>EPMI</w:t>
      </w:r>
      <w:r>
        <w:rPr>
          <w:rFonts w:cs="WP TypographicSymbols" w:ascii="WP TypographicSymbols" w:hAnsi="WP TypographicSymbols"/>
        </w:rPr>
        <w:sym w:font="WP TypographicSymbols" w:char="f040"/>
      </w:r>
      <w:r>
        <w:rPr/>
        <w:t>) has occurred as a result of TVA</w:t>
      </w:r>
      <w:r>
        <w:rPr>
          <w:rFonts w:cs="WP TypographicSymbols" w:ascii="WP TypographicSymbols" w:hAnsi="WP TypographicSymbols"/>
        </w:rPr>
        <w:sym w:font="WP TypographicSymbols" w:char="f03d"/>
      </w:r>
      <w:r>
        <w:rPr/>
        <w:t>s failure to pay, when due and after demand, several million dollars due under the contract.</w:t>
      </w:r>
    </w:p>
    <w:p>
      <w:pPr>
        <w:pStyle w:val="Normal"/>
        <w:jc w:val="both"/>
        <w:rPr/>
      </w:pPr>
      <w:r>
        <w:rPr/>
      </w:r>
    </w:p>
    <w:p>
      <w:pPr>
        <w:pStyle w:val="Normal"/>
        <w:ind w:firstLine="720" w:end="0"/>
        <w:jc w:val="both"/>
        <w:rPr/>
      </w:pPr>
      <w:r>
        <w:rPr/>
        <w:t>As outlined in the letter, EPMI has the right to immediately suspend delivery of electricity scheduled under the MOPA and to terminate the MOPA ten Business Days after giving notice of termination.</w:t>
      </w:r>
    </w:p>
    <w:p>
      <w:pPr>
        <w:pStyle w:val="Normal"/>
        <w:jc w:val="both"/>
        <w:rPr/>
      </w:pPr>
      <w:r>
        <w:rPr/>
      </w:r>
    </w:p>
    <w:p>
      <w:pPr>
        <w:pStyle w:val="Normal"/>
        <w:ind w:firstLine="720" w:end="0"/>
        <w:jc w:val="both"/>
        <w:rPr/>
      </w:pPr>
      <w:r>
        <w:rPr/>
        <w:t>EPMI requested, therefore, that TVA provide any documentation in its possession showing that there was no Triggerring Event.  You have provided no documentation or explanation in response to this request, and we can only assume that TVA has no such documentation in its possession.</w:t>
      </w:r>
    </w:p>
    <w:p>
      <w:pPr>
        <w:pStyle w:val="Normal"/>
        <w:jc w:val="both"/>
        <w:rPr/>
      </w:pPr>
      <w:r>
        <w:rPr/>
      </w:r>
    </w:p>
    <w:p>
      <w:pPr>
        <w:pStyle w:val="Normal"/>
        <w:ind w:firstLine="720" w:end="0"/>
        <w:jc w:val="both"/>
        <w:rPr/>
      </w:pPr>
      <w:r>
        <w:rPr/>
        <w:t xml:space="preserve">In the past, TVA has stated that the supply of electricity under the MOPA was </w:t>
      </w:r>
      <w:r>
        <w:rPr>
          <w:rFonts w:cs="WP TypographicSymbols" w:ascii="WP TypographicSymbols" w:hAnsi="WP TypographicSymbols"/>
        </w:rPr>
        <w:sym w:font="WP TypographicSymbols" w:char="f041"/>
      </w:r>
      <w:r>
        <w:rPr/>
        <w:t>an integral part of TVA</w:t>
      </w:r>
      <w:r>
        <w:rPr>
          <w:rFonts w:cs="WP TypographicSymbols" w:ascii="WP TypographicSymbols" w:hAnsi="WP TypographicSymbols"/>
        </w:rPr>
        <w:sym w:font="WP TypographicSymbols" w:char="f03d"/>
      </w:r>
      <w:r>
        <w:rPr/>
        <w:t>s plan to meet the power supply needs of the TVA region.</w:t>
      </w:r>
      <w:r>
        <w:rPr>
          <w:rFonts w:cs="WP TypographicSymbols" w:ascii="WP TypographicSymbols" w:hAnsi="WP TypographicSymbols"/>
        </w:rPr>
        <w:sym w:font="WP TypographicSymbols" w:char="f040"/>
      </w:r>
      <w:r>
        <w:rPr/>
        <w:t xml:space="preserve">  In order to assist TVA with its needs and avoid unnecessary disruption in the supply of power to the TVA region, Enron has proposed a procedure to allow the parties to determine their rights while ensuring power to TVA</w:t>
      </w:r>
      <w:r>
        <w:rPr>
          <w:rFonts w:cs="WP TypographicSymbols" w:ascii="WP TypographicSymbols" w:hAnsi="WP TypographicSymbols"/>
        </w:rPr>
        <w:sym w:font="WP TypographicSymbols" w:char="f03d"/>
      </w:r>
      <w:r>
        <w:rPr/>
        <w:t>s customers.  TVA has not responded to EPMI</w:t>
      </w:r>
      <w:r>
        <w:rPr>
          <w:rFonts w:cs="WP TypographicSymbols" w:ascii="WP TypographicSymbols" w:hAnsi="WP TypographicSymbols"/>
        </w:rPr>
        <w:sym w:font="WP TypographicSymbols" w:char="f03d"/>
      </w:r>
      <w:r>
        <w:rPr/>
        <w:t>s proposal.</w:t>
      </w:r>
    </w:p>
    <w:p>
      <w:pPr>
        <w:pStyle w:val="Normal"/>
        <w:jc w:val="both"/>
        <w:rPr/>
      </w:pPr>
      <w:r>
        <w:rPr/>
      </w:r>
    </w:p>
    <w:p>
      <w:pPr>
        <w:pStyle w:val="Normal"/>
        <w:ind w:firstLine="720" w:end="0"/>
        <w:jc w:val="both"/>
        <w:rPr/>
      </w:pPr>
      <w:r>
        <w:rPr/>
        <w:t>We respectfully request that TVA respond to EPMI</w:t>
      </w:r>
      <w:r>
        <w:rPr>
          <w:rFonts w:cs="WP TypographicSymbols" w:ascii="WP TypographicSymbols" w:hAnsi="WP TypographicSymbols"/>
        </w:rPr>
        <w:sym w:font="WP TypographicSymbols" w:char="f03d"/>
      </w:r>
      <w:r>
        <w:rPr/>
        <w:t>s proposal on or before January 26, 2000.  In the event TVA accepts EPMI</w:t>
      </w:r>
      <w:r>
        <w:rPr>
          <w:rFonts w:cs="WP TypographicSymbols" w:ascii="WP TypographicSymbols" w:hAnsi="WP TypographicSymbols"/>
        </w:rPr>
        <w:sym w:font="WP TypographicSymbols" w:char="f03d"/>
      </w:r>
      <w:r>
        <w:rPr/>
        <w:t>s proposal, the details of the agreement need to be worked out as soon as possible.</w:t>
      </w:r>
    </w:p>
    <w:p>
      <w:pPr>
        <w:pStyle w:val="Normal"/>
        <w:jc w:val="both"/>
        <w:rPr/>
      </w:pPr>
      <w:r>
        <w:rPr/>
      </w:r>
    </w:p>
    <w:p>
      <w:pPr>
        <w:pStyle w:val="Normal"/>
        <w:ind w:firstLine="720" w:end="0"/>
        <w:jc w:val="both"/>
        <w:rPr/>
      </w:pPr>
      <w:r>
        <w:rPr/>
        <w:t>Thank you for your prompt attention to this matter.</w:t>
      </w:r>
    </w:p>
    <w:p>
      <w:pPr>
        <w:pStyle w:val="Normal"/>
        <w:ind w:firstLine="720" w:end="0"/>
        <w:jc w:val="both"/>
        <w:rPr/>
      </w:pPr>
      <w:r>
        <w:rPr/>
      </w:r>
    </w:p>
    <w:p>
      <w:pPr>
        <w:pStyle w:val="Normal"/>
        <w:widowControl/>
        <w:spacing w:before="240" w:after="0"/>
        <w:ind w:start="4320" w:end="0"/>
        <w:jc w:val="both"/>
        <w:rPr>
          <w:sz w:val="22"/>
        </w:rPr>
      </w:pPr>
      <w:r>
        <w:rPr>
          <w:sz w:val="22"/>
        </w:rPr>
        <w:t>Very truly yours,</w:t>
      </w:r>
    </w:p>
    <w:p>
      <w:pPr>
        <w:pStyle w:val="Heading2"/>
        <w:widowControl/>
        <w:rPr>
          <w:sz w:val="22"/>
        </w:rPr>
      </w:pPr>
      <w:r>
        <w:rPr>
          <w:sz w:val="22"/>
        </w:rPr>
        <w:t>James B. Fallon</w:t>
      </w:r>
    </w:p>
    <w:p>
      <w:pPr>
        <w:pStyle w:val="Normal"/>
        <w:widowControl/>
        <w:ind w:start="4320" w:end="0"/>
        <w:jc w:val="both"/>
        <w:rPr>
          <w:sz w:val="22"/>
        </w:rPr>
      </w:pPr>
      <w:r>
        <w:rPr>
          <w:sz w:val="22"/>
        </w:rPr>
        <w:t>Vice President</w:t>
      </w:r>
    </w:p>
    <w:p>
      <w:pPr>
        <w:pStyle w:val="Normal"/>
        <w:ind w:firstLine="720" w:end="0"/>
        <w:jc w:val="both"/>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720" w:after="0"/>
      <w:jc w:val="both"/>
      <w:outlineLvl w:val="0"/>
    </w:pPr>
    <w:rPr>
      <w:b/>
      <w:u w:val="single"/>
    </w:rPr>
  </w:style>
  <w:style w:type="paragraph" w:styleId="Heading2">
    <w:name w:val="heading 2"/>
    <w:basedOn w:val="Normal"/>
    <w:next w:val="Normal"/>
    <w:qFormat/>
    <w:pPr>
      <w:keepNext w:val="true"/>
      <w:numPr>
        <w:ilvl w:val="1"/>
        <w:numId w:val="1"/>
      </w:numPr>
      <w:spacing w:before="720" w:after="0"/>
      <w:ind w:hanging="0" w:start="4320" w:end="0"/>
      <w:jc w:val="both"/>
      <w:outlineLvl w:val="1"/>
    </w:pPr>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240" w:after="0"/>
      <w:ind w:hanging="540" w:start="126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2000-01-18T14:43:00Z</dcterms:created>
  <dc:creator>esager</dc:creator>
  <dc:description/>
  <dc:language>en-CA</dc:language>
  <cp:lastModifiedBy>esager</cp:lastModifiedBy>
  <cp:lastPrinted>2000-01-18T11:22:00Z</cp:lastPrinted>
  <dcterms:modified xsi:type="dcterms:W3CDTF">2000-01-18T14:55:00Z</dcterms:modified>
  <cp:revision>2</cp:revision>
  <dc:subject/>
  <dc:title/>
</cp:coreProperties>
</file>