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1400" w:after="0"/>
        <w:ind w:hanging="0" w:start="0" w:end="0"/>
        <w:jc w:val="center"/>
        <w:rPr>
          <w:sz w:val="22"/>
        </w:rPr>
      </w:pPr>
      <w:r>
        <w:rPr>
          <w:sz w:val="22"/>
        </w:rPr>
        <w:fldChar w:fldCharType="begin"/>
      </w:r>
      <w:r>
        <w:rPr>
          <w:sz w:val="22"/>
        </w:rPr>
        <w:instrText xml:space="preserve"> TIME \@"MMMM\ d', 'yyyy" </w:instrText>
      </w:r>
      <w:r>
        <w:rPr>
          <w:sz w:val="22"/>
        </w:rPr>
        <w:fldChar w:fldCharType="separate"/>
      </w:r>
      <w:r>
        <w:rPr>
          <w:sz w:val="22"/>
        </w:rPr>
        <w:t>September 27, 2025</w:t>
      </w:r>
      <w:r>
        <w:rPr>
          <w:sz w:val="22"/>
        </w:rPr>
        <w:fldChar w:fldCharType="end"/>
      </w:r>
    </w:p>
    <w:p>
      <w:pPr>
        <w:pStyle w:val="Heading1"/>
        <w:widowControl/>
        <w:bidi w:val="0"/>
        <w:rPr>
          <w:rFonts w:ascii="Times New Roman" w:hAnsi="Times New Roman"/>
          <w:smallCaps/>
          <w:sz w:val="22"/>
        </w:rPr>
      </w:pPr>
      <w:r>
        <w:rPr>
          <w:smallCaps/>
          <w:sz w:val="22"/>
        </w:rPr>
        <w:t>VIA Telecopy</w:t>
      </w:r>
    </w:p>
    <w:p>
      <w:pPr>
        <w:pStyle w:val="Normal"/>
        <w:widowControl/>
        <w:bidi w:val="0"/>
        <w:spacing w:before="240" w:after="0"/>
        <w:ind w:hanging="0" w:start="0" w:end="0"/>
        <w:jc w:val="both"/>
        <w:rPr>
          <w:sz w:val="22"/>
        </w:rPr>
      </w:pPr>
      <w:r>
        <w:rPr>
          <w:sz w:val="22"/>
        </w:rPr>
        <w:t>Tennessee Valley Authority</w:t>
      </w:r>
    </w:p>
    <w:p>
      <w:pPr>
        <w:pStyle w:val="Normal"/>
        <w:widowControl/>
        <w:bidi w:val="0"/>
        <w:ind w:hanging="0" w:start="0" w:end="0"/>
        <w:jc w:val="both"/>
        <w:rPr>
          <w:sz w:val="22"/>
        </w:rPr>
      </w:pPr>
      <w:r>
        <w:rPr>
          <w:sz w:val="22"/>
        </w:rPr>
        <w:t>1101 Market Street</w:t>
      </w:r>
    </w:p>
    <w:p>
      <w:pPr>
        <w:pStyle w:val="Normal"/>
        <w:widowControl/>
        <w:bidi w:val="0"/>
        <w:ind w:hanging="0" w:start="0" w:end="0"/>
        <w:jc w:val="both"/>
        <w:rPr>
          <w:sz w:val="22"/>
        </w:rPr>
      </w:pPr>
      <w:r>
        <w:rPr>
          <w:sz w:val="22"/>
        </w:rPr>
        <w:t>Chattanooga, Tennessee 37402-2601</w:t>
      </w:r>
    </w:p>
    <w:p>
      <w:pPr>
        <w:pStyle w:val="Normal"/>
        <w:widowControl/>
        <w:bidi w:val="0"/>
        <w:ind w:hanging="0" w:start="0" w:end="0"/>
        <w:jc w:val="both"/>
        <w:rPr>
          <w:sz w:val="22"/>
        </w:rPr>
      </w:pPr>
      <w:r>
        <w:rPr>
          <w:sz w:val="22"/>
        </w:rPr>
        <w:t>Attention:  Electric System Operations</w:t>
      </w:r>
    </w:p>
    <w:p>
      <w:pPr>
        <w:pStyle w:val="Normal"/>
        <w:widowControl/>
        <w:bidi w:val="0"/>
        <w:spacing w:before="240" w:after="0"/>
        <w:ind w:hanging="0" w:start="0" w:end="0"/>
        <w:jc w:val="both"/>
        <w:rPr>
          <w:sz w:val="22"/>
        </w:rPr>
      </w:pPr>
      <w:r>
        <w:rPr>
          <w:sz w:val="22"/>
        </w:rPr>
        <w:t>Tennessee Valley Authority</w:t>
      </w:r>
    </w:p>
    <w:p>
      <w:pPr>
        <w:pStyle w:val="Normal"/>
        <w:widowControl/>
        <w:bidi w:val="0"/>
        <w:ind w:hanging="0" w:start="0" w:end="0"/>
        <w:jc w:val="both"/>
        <w:rPr>
          <w:sz w:val="22"/>
        </w:rPr>
      </w:pPr>
      <w:r>
        <w:rPr>
          <w:sz w:val="22"/>
        </w:rPr>
        <w:t>1101 Market Street, MR BK</w:t>
      </w:r>
    </w:p>
    <w:p>
      <w:pPr>
        <w:pStyle w:val="Normal"/>
        <w:widowControl/>
        <w:bidi w:val="0"/>
        <w:ind w:hanging="0" w:start="0" w:end="0"/>
        <w:jc w:val="both"/>
        <w:rPr>
          <w:sz w:val="22"/>
        </w:rPr>
      </w:pPr>
      <w:r>
        <w:rPr>
          <w:sz w:val="22"/>
        </w:rPr>
        <w:t>Chattanooga, Tennessee  37402-2801</w:t>
      </w:r>
    </w:p>
    <w:p>
      <w:pPr>
        <w:pStyle w:val="Normal"/>
        <w:widowControl/>
        <w:bidi w:val="0"/>
        <w:ind w:hanging="0" w:start="0" w:end="0"/>
        <w:jc w:val="both"/>
        <w:rPr>
          <w:sz w:val="22"/>
        </w:rPr>
      </w:pPr>
      <w:r>
        <w:rPr>
          <w:sz w:val="22"/>
        </w:rPr>
        <w:t>Attention:  Mr. Gary Jackson</w:t>
      </w:r>
    </w:p>
    <w:p>
      <w:pPr>
        <w:pStyle w:val="BodyText2"/>
        <w:widowControl/>
        <w:bidi w:val="0"/>
        <w:rPr>
          <w:rFonts w:ascii="Times New Roman" w:hAnsi="Times New Roman"/>
          <w:sz w:val="22"/>
        </w:rPr>
      </w:pPr>
      <w:r>
        <w:rPr>
          <w:sz w:val="22"/>
        </w:rPr>
        <w:t>Re:</w:t>
        <w:tab/>
        <w:t>December 6, 1995 Master Option Purchase Agreement by and between Enron Power Marketing, Inc. and Tennessee Valley Authority</w:t>
      </w:r>
    </w:p>
    <w:p>
      <w:pPr>
        <w:pStyle w:val="Normal"/>
        <w:widowControl/>
        <w:bidi w:val="0"/>
        <w:spacing w:before="240" w:after="0"/>
        <w:ind w:hanging="0" w:start="0" w:end="0"/>
        <w:jc w:val="both"/>
        <w:rPr>
          <w:sz w:val="22"/>
        </w:rPr>
      </w:pPr>
      <w:r>
        <w:rPr>
          <w:sz w:val="22"/>
        </w:rPr>
        <w:t>Dear Mr. Jackson: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22"/>
        </w:rPr>
      </w:pPr>
      <w:r>
        <w:rPr>
          <w:sz w:val="22"/>
        </w:rPr>
        <w:tab/>
        <w:t>In a follow-up to our letter of June 21, 2000, EPMI remains very concerned about TVA's efforts to mitigate its alleged damages under the MOPA.  As you are aware, EPMI offered pursuant to letters dated January 6, 2000 and January 26, 2000 to sell the MOPA quantity of energy to TVA sufficient to cover any energy that TVA otherwise would have scheduled under the MOPA during the pendency of the litigation pending between EPMI and TVA (Case No. ______________) (the "Litigation"), subject in all cases to EPMI returning any amounts received from TVA in excess of the contract price under the MOPA if it was ultimately determined that EPMI had acted improperly.  TVA rejected each of these proposals.  While EPMI is confident that it has acted in accordance with the MOPA and that it owes no damages to TVA, EPMI is willing to re-extend the offers previously made to TVA to sell the MOPA energy at market-based rates pending the outcome of the Litigation currently scheduled to begin in October 2001.</w:t>
      </w:r>
    </w:p>
    <w:p>
      <w:pPr>
        <w:pStyle w:val="Normal"/>
        <w:widowControl/>
        <w:bidi w:val="0"/>
        <w:spacing w:before="120" w:after="0"/>
        <w:ind w:firstLine="720" w:start="0" w:end="0"/>
        <w:jc w:val="both"/>
        <w:rPr>
          <w:sz w:val="22"/>
        </w:rPr>
      </w:pPr>
      <w:r>
        <w:rPr>
          <w:sz w:val="22"/>
        </w:rPr>
        <w:t>In this connection and subject to the terms set forth below, EPMI hereby offers to make energy available to TVA under the same terms and conditions set forth in the MOPA.</w:t>
      </w:r>
      <w:r>
        <w:rPr>
          <w:rStyle w:val="FootnoteReference"/>
          <w:sz w:val="22"/>
          <w:lang w:val="en-US" w:eastAsia="en-US"/>
        </w:rPr>
        <w:footnoteReference w:id="2"/>
      </w:r>
      <w:r>
        <w:rPr>
          <w:sz w:val="22"/>
        </w:rPr>
        <w:t xml:space="preserve"> EPMI's offer is further subject to the following provisions:</w:t>
      </w:r>
    </w:p>
    <w:p>
      <w:pPr>
        <w:pStyle w:val="Normal"/>
        <w:widowControl/>
        <w:numPr>
          <w:ilvl w:val="0"/>
          <w:numId w:val="1"/>
        </w:numPr>
        <w:tabs>
          <w:tab w:val="clear" w:pos="720"/>
          <w:tab w:val="left" w:pos="1785" w:leader="none"/>
        </w:tabs>
        <w:bidi w:val="0"/>
        <w:spacing w:before="120" w:after="0"/>
        <w:ind w:hanging="1065" w:start="1785" w:end="0"/>
        <w:jc w:val="both"/>
        <w:rPr>
          <w:sz w:val="22"/>
        </w:rPr>
      </w:pPr>
      <w:r>
        <w:rPr>
          <w:sz w:val="22"/>
        </w:rPr>
        <w:t>The Energy Charge for the OPAs numbered SP00-20-1 through – 48 would be $____ per MWH.</w:t>
      </w:r>
    </w:p>
    <w:p>
      <w:pPr>
        <w:pStyle w:val="Normal"/>
        <w:widowControl/>
        <w:numPr>
          <w:ilvl w:val="0"/>
          <w:numId w:val="1"/>
        </w:numPr>
        <w:tabs>
          <w:tab w:val="clear" w:pos="720"/>
          <w:tab w:val="left" w:pos="1785" w:leader="none"/>
        </w:tabs>
        <w:bidi w:val="0"/>
        <w:spacing w:before="120" w:after="0"/>
        <w:ind w:hanging="1065" w:start="1785" w:end="0"/>
        <w:jc w:val="both"/>
        <w:rPr>
          <w:sz w:val="22"/>
        </w:rPr>
      </w:pPr>
      <w:r>
        <w:rPr>
          <w:sz w:val="22"/>
        </w:rPr>
        <w:t>The Energy Charge for the OPAs numbered WP00-20-1 through – 32 would be $____ per MWH.</w:t>
      </w:r>
    </w:p>
    <w:p>
      <w:pPr>
        <w:pStyle w:val="Normal"/>
        <w:widowControl/>
        <w:numPr>
          <w:ilvl w:val="0"/>
          <w:numId w:val="1"/>
        </w:numPr>
        <w:tabs>
          <w:tab w:val="clear" w:pos="720"/>
          <w:tab w:val="left" w:pos="1785" w:leader="none"/>
        </w:tabs>
        <w:bidi w:val="0"/>
        <w:spacing w:before="120" w:after="0"/>
        <w:ind w:hanging="1065" w:start="1785" w:end="0"/>
        <w:jc w:val="both"/>
        <w:rPr>
          <w:sz w:val="22"/>
        </w:rPr>
      </w:pPr>
      <w:r>
        <w:rPr>
          <w:sz w:val="22"/>
        </w:rPr>
        <w:t>The Energy Charge for the OPAs numbered SP01-20-1 through – 48 would be $____ per MWH.</w:t>
      </w:r>
    </w:p>
    <w:p>
      <w:pPr>
        <w:pStyle w:val="Normal"/>
        <w:widowControl/>
        <w:numPr>
          <w:ilvl w:val="0"/>
          <w:numId w:val="1"/>
        </w:numPr>
        <w:tabs>
          <w:tab w:val="clear" w:pos="720"/>
          <w:tab w:val="left" w:pos="1785" w:leader="none"/>
        </w:tabs>
        <w:bidi w:val="0"/>
        <w:spacing w:before="120" w:after="0"/>
        <w:ind w:hanging="1065" w:start="1785" w:end="0"/>
        <w:jc w:val="both"/>
        <w:rPr>
          <w:sz w:val="22"/>
        </w:rPr>
      </w:pPr>
      <w:r>
        <w:rPr>
          <w:sz w:val="22"/>
        </w:rPr>
        <w:t>If necessaary due to the timing of the Litigation and TVAs proper exercise of the OPAs, the Energy Charge for the OPAs numbered WP01-20-1 through – 32 would be $____ per MWH.</w:t>
      </w:r>
    </w:p>
    <w:p>
      <w:pPr>
        <w:pStyle w:val="Normal"/>
        <w:widowControl/>
        <w:numPr>
          <w:ilvl w:val="0"/>
          <w:numId w:val="1"/>
        </w:numPr>
        <w:tabs>
          <w:tab w:val="clear" w:pos="720"/>
          <w:tab w:val="left" w:pos="1785" w:leader="none"/>
        </w:tabs>
        <w:bidi w:val="0"/>
        <w:spacing w:before="120" w:after="0"/>
        <w:ind w:hanging="1065" w:start="1785" w:end="0"/>
        <w:jc w:val="both"/>
        <w:rPr>
          <w:sz w:val="22"/>
        </w:rPr>
      </w:pPr>
      <w:r>
        <w:rPr>
          <w:sz w:val="22"/>
        </w:rPr>
        <w:t>TVA would pay the Option Premium and Demand Charge for all OPAs.</w:t>
      </w:r>
    </w:p>
    <w:p>
      <w:pPr>
        <w:pStyle w:val="Normal"/>
        <w:widowControl/>
        <w:numPr>
          <w:ilvl w:val="0"/>
          <w:numId w:val="1"/>
        </w:numPr>
        <w:tabs>
          <w:tab w:val="clear" w:pos="720"/>
          <w:tab w:val="left" w:pos="1785" w:leader="none"/>
        </w:tabs>
        <w:bidi w:val="0"/>
        <w:spacing w:before="120" w:after="0"/>
        <w:ind w:hanging="1065" w:start="1785" w:end="0"/>
        <w:jc w:val="both"/>
        <w:rPr>
          <w:sz w:val="22"/>
        </w:rPr>
      </w:pPr>
      <w:r>
        <w:rPr>
          <w:sz w:val="22"/>
        </w:rPr>
        <w:t>All Option Premiums, Demand Charges, and Energy Charges would be paid by TVA into an escrow account pursuant to an escrow account to be negotiated between the parties (the "Escrow Agreement") with the proceeds thereof being released pending either the mutual agreement of TVA and EPMI or the resolution and satisfaction of all disputes between EPMI and TVA in the Litigation</w:t>
      </w:r>
    </w:p>
    <w:p>
      <w:pPr>
        <w:pStyle w:val="Normal"/>
        <w:widowControl/>
        <w:numPr>
          <w:ilvl w:val="0"/>
          <w:numId w:val="1"/>
        </w:numPr>
        <w:tabs>
          <w:tab w:val="clear" w:pos="720"/>
          <w:tab w:val="left" w:pos="1785" w:leader="none"/>
        </w:tabs>
        <w:bidi w:val="0"/>
        <w:spacing w:before="120" w:after="0"/>
        <w:ind w:hanging="1065" w:start="1785" w:end="0"/>
        <w:jc w:val="both"/>
        <w:rPr>
          <w:sz w:val="22"/>
        </w:rPr>
      </w:pPr>
      <w:r>
        <w:rPr>
          <w:sz w:val="22"/>
        </w:rPr>
        <w:t>EPMI's offer is contingent upon the execution by EPMI and TVA of an Escrow Agreement on or before ______, 2000.</w:t>
      </w:r>
    </w:p>
    <w:p>
      <w:pPr>
        <w:pStyle w:val="Normal"/>
        <w:widowControl/>
        <w:numPr>
          <w:ilvl w:val="0"/>
          <w:numId w:val="1"/>
        </w:numPr>
        <w:tabs>
          <w:tab w:val="clear" w:pos="720"/>
          <w:tab w:val="left" w:pos="1785" w:leader="none"/>
        </w:tabs>
        <w:bidi w:val="0"/>
        <w:spacing w:before="120" w:after="0"/>
        <w:ind w:hanging="1065" w:start="1785" w:end="0"/>
        <w:jc w:val="both"/>
        <w:rPr>
          <w:sz w:val="22"/>
        </w:rPr>
      </w:pPr>
      <w:r>
        <w:rPr>
          <w:sz w:val="22"/>
        </w:rPr>
        <w:t>Except as set forth above, all other terms and conditons in the MOPA would be applicable.</w:t>
      </w:r>
    </w:p>
    <w:p>
      <w:pPr>
        <w:pStyle w:val="Normal"/>
        <w:widowControl/>
        <w:bidi w:val="0"/>
        <w:spacing w:before="120" w:after="0"/>
        <w:ind w:firstLine="720" w:start="720" w:end="0"/>
        <w:jc w:val="both"/>
        <w:rPr>
          <w:sz w:val="22"/>
        </w:rPr>
      </w:pPr>
      <w:r>
        <w:rPr>
          <w:sz w:val="22"/>
        </w:rPr>
        <w:t>If TVA agrees to this proposal, please indicate by signing in the space provided below and returning a copy of this letter to me via telefax at (713) 646-3490 no later than 5:00 p.m. CPT on July __, 2000 (the "Offer Expiration TIme").  If TVA signs and returns this letter on or before the Offer Expiration Time, EPMI will forward to TVA a draft Escrow Agreement for TVA's consideration.</w:t>
      </w:r>
    </w:p>
    <w:p>
      <w:pPr>
        <w:pStyle w:val="Normal"/>
        <w:widowControl/>
        <w:bidi w:val="0"/>
        <w:spacing w:before="120" w:after="0"/>
        <w:ind w:firstLine="720" w:start="720" w:end="0"/>
        <w:jc w:val="both"/>
        <w:rPr>
          <w:sz w:val="22"/>
        </w:rPr>
      </w:pPr>
      <w:r>
        <w:rPr>
          <w:sz w:val="22"/>
        </w:rPr>
      </w:r>
    </w:p>
    <w:p>
      <w:pPr>
        <w:pStyle w:val="Normal"/>
        <w:widowControl/>
        <w:bidi w:val="0"/>
        <w:spacing w:before="120" w:after="0"/>
        <w:ind w:firstLine="720" w:start="720" w:end="0"/>
        <w:jc w:val="both"/>
        <w:rPr>
          <w:sz w:val="22"/>
        </w:rPr>
      </w:pPr>
      <w:r>
        <w:rPr>
          <w:sz w:val="22"/>
        </w:rPr>
      </w:r>
    </w:p>
    <w:p>
      <w:pPr>
        <w:pStyle w:val="Normal"/>
        <w:widowControl/>
        <w:bidi w:val="0"/>
        <w:spacing w:before="240" w:after="0"/>
        <w:ind w:firstLine="720" w:start="4320" w:end="0"/>
        <w:jc w:val="both"/>
        <w:rPr>
          <w:sz w:val="22"/>
        </w:rPr>
      </w:pPr>
      <w:r>
        <w:rPr>
          <w:sz w:val="22"/>
        </w:rPr>
        <w:t>Very truly yours,</w:t>
      </w:r>
    </w:p>
    <w:p>
      <w:pPr>
        <w:pStyle w:val="Heading2"/>
        <w:widowControl/>
        <w:bidi w:val="0"/>
        <w:ind w:firstLine="720" w:start="4320" w:end="0"/>
        <w:rPr>
          <w:rFonts w:ascii="Times New Roman" w:hAnsi="Times New Roman"/>
          <w:sz w:val="22"/>
        </w:rPr>
      </w:pPr>
      <w:r>
        <w:rPr>
          <w:sz w:val="22"/>
        </w:rPr>
        <w:t>Kevin Presto</w:t>
      </w:r>
    </w:p>
    <w:p>
      <w:pPr>
        <w:pStyle w:val="Normal"/>
        <w:widowControl/>
        <w:bidi w:val="0"/>
        <w:ind w:firstLine="720" w:start="4320" w:end="0"/>
        <w:jc w:val="both"/>
        <w:rPr>
          <w:sz w:val="22"/>
        </w:rPr>
      </w:pPr>
      <w:r>
        <w:rPr>
          <w:sz w:val="22"/>
        </w:rPr>
        <w:t>Vice President</w:t>
      </w:r>
    </w:p>
    <w:p>
      <w:pPr>
        <w:pStyle w:val="Heading3"/>
        <w:widowControl/>
        <w:bidi w:val="0"/>
        <w:rPr>
          <w:rFonts w:ascii="Times New Roman" w:hAnsi="Times New Roman"/>
          <w:b/>
        </w:rPr>
      </w:pPr>
      <w:r>
        <w:rPr>
          <w:b/>
        </w:rPr>
      </w:r>
    </w:p>
    <w:p>
      <w:pPr>
        <w:pStyle w:val="Heading3"/>
        <w:widowControl/>
        <w:bidi w:val="0"/>
        <w:rPr>
          <w:rFonts w:ascii="Times New Roman" w:hAnsi="Times New Roman"/>
          <w:b/>
        </w:rPr>
      </w:pPr>
      <w:r>
        <w:rPr>
          <w:b/>
        </w:rPr>
      </w:r>
    </w:p>
    <w:p>
      <w:pPr>
        <w:pStyle w:val="Heading3"/>
        <w:widowControl/>
        <w:bidi w:val="0"/>
        <w:rPr>
          <w:rFonts w:ascii="Times New Roman" w:hAnsi="Times New Roman"/>
          <w:b/>
        </w:rPr>
      </w:pPr>
      <w:r>
        <w:rPr>
          <w:b/>
        </w:rPr>
        <w:t>Tennessee Valley Authority</w:t>
      </w:r>
    </w:p>
    <w:p>
      <w:pPr>
        <w:pStyle w:val="Normal"/>
        <w:widowControl/>
        <w:tabs>
          <w:tab w:val="clear" w:pos="720"/>
          <w:tab w:val="left" w:pos="4140" w:leader="none"/>
        </w:tabs>
        <w:bidi w:val="0"/>
        <w:spacing w:before="600" w:after="0"/>
        <w:ind w:hanging="0" w:start="0" w:end="0"/>
        <w:jc w:val="both"/>
        <w:rPr>
          <w:sz w:val="22"/>
        </w:rPr>
      </w:pPr>
      <w:r>
        <w:rPr>
          <w:sz w:val="22"/>
        </w:rPr>
        <w:t xml:space="preserve">By:  </w:t>
      </w:r>
      <w:r>
        <w:rPr>
          <w:sz w:val="22"/>
          <w:u w:val="single"/>
        </w:rPr>
        <w:tab/>
      </w:r>
    </w:p>
    <w:p>
      <w:pPr>
        <w:pStyle w:val="Normal"/>
        <w:widowControl/>
        <w:tabs>
          <w:tab w:val="clear" w:pos="720"/>
          <w:tab w:val="left" w:pos="4140" w:leader="none"/>
        </w:tabs>
        <w:bidi w:val="0"/>
        <w:ind w:hanging="0" w:start="0" w:end="0"/>
        <w:jc w:val="both"/>
        <w:rPr>
          <w:sz w:val="22"/>
        </w:rPr>
      </w:pPr>
      <w:r>
        <w:rPr>
          <w:sz w:val="22"/>
        </w:rPr>
        <w:t xml:space="preserve">Name:  </w:t>
      </w:r>
      <w:r>
        <w:rPr>
          <w:sz w:val="22"/>
          <w:u w:val="single"/>
        </w:rPr>
        <w:tab/>
      </w:r>
    </w:p>
    <w:p>
      <w:pPr>
        <w:pStyle w:val="Normal"/>
        <w:widowControl/>
        <w:tabs>
          <w:tab w:val="clear" w:pos="720"/>
          <w:tab w:val="left" w:pos="4140" w:leader="none"/>
        </w:tabs>
        <w:bidi w:val="0"/>
        <w:ind w:hanging="0" w:start="0" w:end="0"/>
        <w:jc w:val="both"/>
        <w:rPr>
          <w:sz w:val="22"/>
          <w:u w:val="single"/>
        </w:rPr>
      </w:pPr>
      <w:r>
        <w:rPr>
          <w:sz w:val="22"/>
        </w:rPr>
        <w:t xml:space="preserve">Title:  </w:t>
      </w:r>
      <w:r>
        <w:rPr>
          <w:sz w:val="22"/>
          <w:u w:val="single"/>
        </w:rPr>
        <w:tab/>
      </w:r>
    </w:p>
    <w:sectPr>
      <w:headerReference w:type="even" r:id="rId2"/>
      <w:headerReference w:type="default" r:id="rId3"/>
      <w:headerReference w:type="first" r:id="rId4"/>
      <w:footerReference w:type="even" r:id="rId5"/>
      <w:footerReference w:type="default" r:id="rId6"/>
      <w:footerReference w:type="first" r:id="rId7"/>
      <w:footnotePr>
        <w:numFmt w:val="decimal"/>
        <w:numRestart w:val="eachSect"/>
      </w:footnotePr>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240" w:after="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/mnt/main-storage/datasets/enron-docs/rtf/TVA13.rtf</w:t>
    </w:r>
    <w:r>
      <w:rPr>
        <w:sz w:val="12"/>
      </w:rPr>
      <w:fldChar w:fldCharType="end"/>
    </w:r>
  </w:p>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240" w:after="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/mnt/main-storage/datasets/enron-docs/rtf/TVA13.rtf</w:t>
    </w:r>
    <w:r>
      <w:rPr>
        <w:sz w:val="1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val="false"/>
        <w:bidi w:val="0"/>
        <w:ind w:hanging="0" w:start="0" w:end="0"/>
        <w:jc w:val="start"/>
        <w:textAlignment w:val="auto"/>
        <w:rPr/>
      </w:pPr>
      <w:r>
        <w:rPr>
          <w:rStyle w:val="FootnoteCharacters"/>
        </w:rPr>
        <w:footnoteRef/>
      </w:r>
      <w:r>
        <w:rPr/>
        <w:t xml:space="preserve"> </w:t>
      </w:r>
      <w:r>
        <w:rPr/>
        <w:t>EPMI notes that contrary to the terms of the MOPA, TVA has failed to exercise the OPAs for any period after the summer period ending September 15, 2000. Accordinly, under the terms of the MOPA, TVA has no right to request the scheduling of energy for either the Winter Period commencing December 2000 (OPAs WP00-20-1 through 32) or the Summer Period commencing June 2001 (OPAs SP01-20-1 through 48).  For purposes of this offer only, EPMI is willing to waive TVA's failure to exercise such OPAs and to permit TVA the right to schedule the delivery of energy under the MOPA for such time periods.  EPMI expressly preserves any and all rights it has with respect to TVA's failure to exercise such OPAs, inluding without limitation, the fact that TVA is not entiled to any damages as a result of its failure to exercise the OPAs.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2"/>
      </w:rPr>
    </w:pPr>
    <w:r>
      <w:rPr>
        <w:sz w:val="22"/>
      </w:rPr>
      <w:t>Tennessee Valley Authority</w:t>
    </w:r>
  </w:p>
  <w:p>
    <w:pPr>
      <w:pStyle w:val="Header"/>
      <w:bidi w:val="0"/>
      <w:jc w:val="start"/>
      <w:rPr>
        <w:rFonts w:ascii="Times New Roman" w:hAnsi="Times New Roman"/>
        <w:sz w:val="22"/>
      </w:rPr>
    </w:pPr>
    <w:r>
      <w:rPr>
        <w:sz w:val="22"/>
      </w:rPr>
      <w:fldChar w:fldCharType="begin"/>
    </w:r>
    <w:r>
      <w:rPr>
        <w:sz w:val="22"/>
      </w:rPr>
      <w:instrText xml:space="preserve"> TIME \@"MMMM\ d', 'yyyy" </w:instrText>
    </w:r>
    <w:r>
      <w:rPr>
        <w:sz w:val="22"/>
      </w:rPr>
      <w:fldChar w:fldCharType="separate"/>
    </w:r>
    <w:r>
      <w:rPr>
        <w:sz w:val="22"/>
      </w:rPr>
      <w:t>September 27, 2025</w:t>
    </w:r>
    <w:r>
      <w:rPr>
        <w:sz w:val="22"/>
      </w:rPr>
      <w:fldChar w:fldCharType="end"/>
    </w:r>
  </w:p>
  <w:p>
    <w:pPr>
      <w:pStyle w:val="Header"/>
      <w:bidi w:val="0"/>
      <w:jc w:val="start"/>
      <w:rPr>
        <w:rStyle w:val="PageNumber"/>
        <w:rFonts w:ascii="Times New Roman" w:hAnsi="Times New Roman"/>
        <w:sz w:val="22"/>
      </w:rPr>
    </w:pPr>
    <w:r>
      <w:rPr>
        <w:sz w:val="22"/>
      </w:rPr>
      <w:t xml:space="preserve">Page </w:t>
    </w:r>
    <w:r>
      <w:rPr>
        <w:rStyle w:val="PageNumber"/>
        <w:sz w:val="22"/>
        <w:lang w:val="en-US" w:eastAsia="en-US"/>
      </w:rPr>
      <w:fldChar w:fldCharType="begin"/>
    </w:r>
    <w:r>
      <w:rPr>
        <w:rStyle w:val="PageNumber"/>
        <w:sz w:val="22"/>
        <w:lang w:val="en-US" w:eastAsia="en-US"/>
      </w:rPr>
      <w:instrText xml:space="preserve"> PAGE </w:instrText>
    </w:r>
    <w:r>
      <w:rPr>
        <w:rStyle w:val="PageNumber"/>
        <w:sz w:val="22"/>
        <w:lang w:val="en-US" w:eastAsia="en-US"/>
      </w:rPr>
      <w:fldChar w:fldCharType="separate"/>
    </w:r>
    <w:r>
      <w:rPr>
        <w:rStyle w:val="PageNumber"/>
        <w:sz w:val="22"/>
        <w:lang w:val="en-US" w:eastAsia="en-US"/>
      </w:rPr>
      <w:t>2</w:t>
    </w:r>
    <w:r>
      <w:rPr>
        <w:rStyle w:val="PageNumber"/>
        <w:sz w:val="22"/>
        <w:lang w:val="en-US" w:eastAsia="en-US"/>
      </w:rPr>
      <w:fldChar w:fldCharType="end"/>
    </w:r>
  </w:p>
  <w:p>
    <w:pPr>
      <w:pStyle w:val="Header"/>
      <w:bidi w:val="0"/>
      <w:jc w:val="start"/>
      <w:rPr>
        <w:rStyle w:val="PageNumber"/>
        <w:rFonts w:ascii="Times New Roman" w:hAnsi="Times New Roman"/>
        <w:sz w:val="22"/>
      </w:rPr>
    </w:pPr>
    <w:r>
      <w:rPr>
        <w:sz w:val="22"/>
      </w:rPr>
    </w:r>
  </w:p>
  <w:p>
    <w:pPr>
      <w:pStyle w:val="Header"/>
      <w:bidi w:val="0"/>
      <w:jc w:val="start"/>
      <w:rPr>
        <w:rStyle w:val="PageNumber"/>
        <w:rFonts w:ascii="Times New Roman" w:hAnsi="Times New Roman"/>
        <w:sz w:val="22"/>
      </w:rPr>
    </w:pPr>
    <w:r>
      <w:rPr>
        <w:sz w:val="22"/>
      </w:rPr>
    </w:r>
  </w:p>
  <w:p>
    <w:pPr>
      <w:pStyle w:val="Header"/>
      <w:bidi w:val="0"/>
      <w:jc w:val="start"/>
      <w:rPr>
        <w:rFonts w:ascii="Times New Roman" w:hAnsi="Times New Roman"/>
        <w:sz w:val="22"/>
      </w:rPr>
    </w:pPr>
    <w:r>
      <w:rPr>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785"/>
        </w:tabs>
        <w:ind w:start="1785" w:hanging="1065"/>
      </w:pPr>
      <w:rPr/>
    </w:lvl>
    <w:lvl w:ilvl="1">
      <w:start w:val="1"/>
      <w:numFmt w:val="lowerLetter"/>
      <w:lvlText w:val="%2."/>
      <w:lvlJc w:val="start"/>
      <w:pPr>
        <w:tabs>
          <w:tab w:val="num" w:pos="1800"/>
        </w:tabs>
        <w:ind w:start="1800" w:hanging="360"/>
      </w:pPr>
      <w:rPr/>
    </w:lvl>
    <w:lvl w:ilvl="2">
      <w:start w:val="1"/>
      <w:numFmt w:val="lowerRoman"/>
      <w:lvlText w:val="%3."/>
      <w:lvlJc w:val="end"/>
      <w:pPr>
        <w:tabs>
          <w:tab w:val="num" w:pos="2520"/>
        </w:tabs>
        <w:ind w:start="2520" w:hanging="180"/>
      </w:pPr>
      <w:rPr/>
    </w:lvl>
    <w:lvl w:ilvl="3">
      <w:start w:val="1"/>
      <w:numFmt w:val="decimal"/>
      <w:lvlText w:val="%4."/>
      <w:lvlJc w:val="start"/>
      <w:pPr>
        <w:tabs>
          <w:tab w:val="num" w:pos="3240"/>
        </w:tabs>
        <w:ind w:start="3240" w:hanging="360"/>
      </w:pPr>
      <w:rPr/>
    </w:lvl>
    <w:lvl w:ilvl="4">
      <w:start w:val="1"/>
      <w:numFmt w:val="lowerLetter"/>
      <w:lvlText w:val="%5."/>
      <w:lvlJc w:val="start"/>
      <w:pPr>
        <w:tabs>
          <w:tab w:val="num" w:pos="3960"/>
        </w:tabs>
        <w:ind w:start="3960" w:hanging="360"/>
      </w:pPr>
      <w:rPr/>
    </w:lvl>
    <w:lvl w:ilvl="5">
      <w:start w:val="1"/>
      <w:numFmt w:val="lowerRoman"/>
      <w:lvlText w:val="%6."/>
      <w:lvlJc w:val="end"/>
      <w:pPr>
        <w:tabs>
          <w:tab w:val="num" w:pos="4680"/>
        </w:tabs>
        <w:ind w:start="4680" w:hanging="180"/>
      </w:pPr>
      <w:rPr/>
    </w:lvl>
    <w:lvl w:ilvl="6">
      <w:start w:val="1"/>
      <w:numFmt w:val="decimal"/>
      <w:lvlText w:val="%7."/>
      <w:lvlJc w:val="start"/>
      <w:pPr>
        <w:tabs>
          <w:tab w:val="num" w:pos="5400"/>
        </w:tabs>
        <w:ind w:start="5400" w:hanging="360"/>
      </w:pPr>
      <w:rPr/>
    </w:lvl>
    <w:lvl w:ilvl="7">
      <w:start w:val="1"/>
      <w:numFmt w:val="lowerLetter"/>
      <w:lvlText w:val="%8."/>
      <w:lvlJc w:val="start"/>
      <w:pPr>
        <w:tabs>
          <w:tab w:val="num" w:pos="6120"/>
        </w:tabs>
        <w:ind w:start="6120" w:hanging="360"/>
      </w:pPr>
      <w:rPr/>
    </w:lvl>
    <w:lvl w:ilvl="8">
      <w:start w:val="1"/>
      <w:numFmt w:val="lowerRoman"/>
      <w:lvlText w:val="%9."/>
      <w:lvlJc w:val="end"/>
      <w:pPr>
        <w:tabs>
          <w:tab w:val="num" w:pos="6840"/>
        </w:tabs>
        <w:ind w:start="684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paragraph" w:styleId="Heading1">
    <w:name w:val="heading 1"/>
    <w:basedOn w:val="Normal"/>
    <w:next w:val="Normal"/>
    <w:qFormat/>
    <w:pPr>
      <w:keepNext w:val="true"/>
      <w:widowControl w:val="false"/>
      <w:spacing w:before="720" w:after="0"/>
      <w:ind w:hanging="0" w:start="0" w:end="0"/>
      <w:jc w:val="both"/>
      <w:textAlignment w:val="auto"/>
      <w:outlineLvl w:val="0"/>
    </w:pPr>
    <w:rPr>
      <w:b/>
      <w:sz w:val="24"/>
      <w:u w:val="single"/>
      <w:lang w:val="en-US" w:eastAsia="en-US"/>
    </w:rPr>
  </w:style>
  <w:style w:type="paragraph" w:styleId="Heading2">
    <w:name w:val="heading 2"/>
    <w:basedOn w:val="Normal"/>
    <w:next w:val="Normal"/>
    <w:qFormat/>
    <w:pPr>
      <w:keepNext w:val="true"/>
      <w:widowControl w:val="false"/>
      <w:spacing w:before="720" w:after="0"/>
      <w:ind w:hanging="0" w:start="4320" w:end="0"/>
      <w:jc w:val="both"/>
      <w:textAlignment w:val="auto"/>
      <w:outlineLvl w:val="1"/>
    </w:pPr>
    <w:rPr>
      <w:sz w:val="24"/>
      <w:lang w:val="en-US" w:eastAsia="en-US"/>
    </w:rPr>
  </w:style>
  <w:style w:type="paragraph" w:styleId="Heading3">
    <w:name w:val="heading 3"/>
    <w:basedOn w:val="Normal"/>
    <w:next w:val="Normal"/>
    <w:qFormat/>
    <w:pPr>
      <w:keepNext w:val="true"/>
      <w:widowControl w:val="false"/>
      <w:spacing w:before="120" w:after="0"/>
      <w:ind w:hanging="0" w:start="0" w:end="0"/>
      <w:jc w:val="both"/>
      <w:textAlignment w:val="auto"/>
      <w:outlineLvl w:val="2"/>
    </w:pPr>
    <w:rPr>
      <w:smallCaps/>
      <w:sz w:val="22"/>
      <w:lang w:val="en-US" w:eastAsia="en-U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2"/>
      <w:lang w:val="en-US" w:eastAsia="en-US"/>
    </w:rPr>
  </w:style>
  <w:style w:type="paragraph" w:styleId="BodyText2">
    <w:name w:val="Body Text 2"/>
    <w:basedOn w:val="Normal"/>
    <w:qFormat/>
    <w:pPr>
      <w:widowControl w:val="false"/>
      <w:spacing w:before="240" w:after="0"/>
      <w:ind w:hanging="540" w:start="1260" w:end="0"/>
      <w:jc w:val="both"/>
      <w:textAlignment w:val="auto"/>
    </w:pPr>
    <w:rPr>
      <w:sz w:val="24"/>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noteText">
    <w:name w:val="footnote text"/>
    <w:basedOn w:val="Normal"/>
    <w:pPr>
      <w:widowControl w:val="false"/>
      <w:ind w:hanging="0" w:start="0" w:end="0"/>
      <w:jc w:val="start"/>
      <w:textAlignment w:val="auto"/>
    </w:pPr>
    <w:rPr>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LibreOffice_project/c3912edc4c615b55f2051310c417e592ac3ce905</Application>
  <AppVersion>15.0000</AppVersion>
  <Pages>99</Pages>
  <Words>614</Words>
  <Characters>0</Characters>
  <CharactersWithSpaces>3505</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2000-07-05T10:47:00Z</dcterms:created>
  <dc:creator>Brenda Whitehead</dc:creator>
  <dc:description/>
  <dc:language>en-US</dc:language>
  <cp:lastModifiedBy/>
  <cp:lastPrinted>2000-01-06T08:59:00Z</cp:lastPrinted>
  <dcterms:modified xsi:type="dcterms:W3CDTF">2000-07-05T12:03:00Z</dcterms:modified>
  <cp:revision>3</cp:revision>
  <dc:subject/>
  <dc:title>July 5,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esager</vt:lpwstr>
  </property>
</Properties>
</file>