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1400" w:after="0"/>
        <w:jc w:val="center"/>
        <w:rPr>
          <w:sz w:val="22"/>
        </w:rPr>
      </w:pPr>
      <w:r>
        <w:rPr>
          <w:sz w:val="22"/>
          <w:lang w:val="en-CA"/>
        </w:rPr>
        <w:fldChar w:fldCharType="begin"/>
      </w:r>
      <w:r>
        <w:rPr>
          <w:sz w:val="22"/>
          <w:lang w:val="en-CA"/>
        </w:rPr>
        <w:instrText xml:space="preserve"> TIME \@"MMMM\ d', 'yyyy" </w:instrText>
      </w:r>
      <w:r>
        <w:rPr>
          <w:sz w:val="22"/>
          <w:lang w:val="en-CA"/>
        </w:rPr>
        <w:fldChar w:fldCharType="separate"/>
      </w:r>
      <w:r>
        <w:rPr>
          <w:sz w:val="22"/>
          <w:lang w:val="en-CA"/>
        </w:rPr>
        <w:t>September 28, 2025</w:t>
      </w:r>
      <w:r>
        <w:rPr>
          <w:sz w:val="22"/>
          <w:lang w:val="en-CA"/>
        </w:rPr>
        <w:fldChar w:fldCharType="end"/>
      </w:r>
    </w:p>
    <w:p>
      <w:pPr>
        <w:pStyle w:val="Heading1"/>
        <w:bidi w:val="0"/>
        <w:rPr>
          <w:rFonts w:ascii="Times New Roman" w:hAnsi="Times New Roman"/>
          <w:smallCaps/>
          <w:sz w:val="22"/>
        </w:rPr>
      </w:pPr>
      <w:r>
        <w:rPr>
          <w:smallCaps/>
          <w:sz w:val="22"/>
        </w:rPr>
        <w:t>VIA Telecopy</w:t>
      </w:r>
    </w:p>
    <w:p>
      <w:pPr>
        <w:pStyle w:val="Normal"/>
        <w:bidi w:val="0"/>
        <w:spacing w:before="240" w:after="0"/>
        <w:jc w:val="both"/>
        <w:rPr>
          <w:sz w:val="22"/>
        </w:rPr>
      </w:pPr>
      <w:r>
        <w:rPr>
          <w:sz w:val="22"/>
        </w:rPr>
        <w:t>Tennessee Valley Authority</w:t>
      </w:r>
    </w:p>
    <w:p>
      <w:pPr>
        <w:pStyle w:val="Normal"/>
        <w:bidi w:val="0"/>
        <w:jc w:val="both"/>
        <w:rPr>
          <w:sz w:val="22"/>
        </w:rPr>
      </w:pPr>
      <w:r>
        <w:rPr>
          <w:sz w:val="22"/>
        </w:rPr>
        <w:t>1101 Market Street</w:t>
      </w:r>
    </w:p>
    <w:p>
      <w:pPr>
        <w:pStyle w:val="Normal"/>
        <w:bidi w:val="0"/>
        <w:jc w:val="both"/>
        <w:rPr>
          <w:sz w:val="22"/>
        </w:rPr>
      </w:pPr>
      <w:r>
        <w:rPr>
          <w:sz w:val="22"/>
        </w:rPr>
        <w:t>Chattanooga, Tennessee 37402-2601</w:t>
      </w:r>
    </w:p>
    <w:p>
      <w:pPr>
        <w:pStyle w:val="Normal"/>
        <w:bidi w:val="0"/>
        <w:jc w:val="both"/>
        <w:rPr>
          <w:sz w:val="22"/>
        </w:rPr>
      </w:pPr>
      <w:r>
        <w:rPr>
          <w:sz w:val="22"/>
        </w:rPr>
        <w:t>Attention:    Electric System Operations</w:t>
      </w:r>
    </w:p>
    <w:p>
      <w:pPr>
        <w:pStyle w:val="Normal"/>
        <w:bidi w:val="0"/>
        <w:spacing w:before="240" w:after="0"/>
        <w:jc w:val="both"/>
        <w:rPr>
          <w:sz w:val="22"/>
        </w:rPr>
      </w:pPr>
      <w:r>
        <w:rPr>
          <w:sz w:val="22"/>
        </w:rPr>
        <w:t>Tennessee Valley Authority</w:t>
      </w:r>
    </w:p>
    <w:p>
      <w:pPr>
        <w:pStyle w:val="Normal"/>
        <w:bidi w:val="0"/>
        <w:jc w:val="both"/>
        <w:rPr>
          <w:sz w:val="22"/>
        </w:rPr>
      </w:pPr>
      <w:r>
        <w:rPr>
          <w:sz w:val="22"/>
        </w:rPr>
        <w:t>1101 Market Street, MR BK</w:t>
      </w:r>
    </w:p>
    <w:p>
      <w:pPr>
        <w:pStyle w:val="Normal"/>
        <w:bidi w:val="0"/>
        <w:jc w:val="both"/>
        <w:rPr>
          <w:sz w:val="22"/>
        </w:rPr>
      </w:pPr>
      <w:r>
        <w:rPr>
          <w:sz w:val="22"/>
        </w:rPr>
        <w:t>Chattanooga, Tennessee    37402-2801</w:t>
      </w:r>
    </w:p>
    <w:p>
      <w:pPr>
        <w:pStyle w:val="Normal"/>
        <w:bidi w:val="0"/>
        <w:jc w:val="both"/>
        <w:rPr>
          <w:sz w:val="22"/>
        </w:rPr>
      </w:pPr>
      <w:r>
        <w:rPr>
          <w:sz w:val="22"/>
        </w:rPr>
        <w:t>Attention:    Mr. Gary Jackson</w:t>
      </w:r>
    </w:p>
    <w:p>
      <w:pPr>
        <w:pStyle w:val="BodyText2"/>
        <w:bidi w:val="0"/>
        <w:rPr>
          <w:rFonts w:ascii="Times New Roman" w:hAnsi="Times New Roman"/>
          <w:sz w:val="22"/>
        </w:rPr>
      </w:pPr>
      <w:r>
        <w:rPr>
          <w:sz w:val="22"/>
        </w:rPr>
        <w:t>Re:</w:t>
        <w:tab/>
        <w:t>December 6, 1995 Master Option Purchase Agreement by and between Enron Power Marketing, Inc. and Tennessee Valley Authority</w:t>
      </w:r>
    </w:p>
    <w:p>
      <w:pPr>
        <w:pStyle w:val="Normal"/>
        <w:bidi w:val="0"/>
        <w:spacing w:before="240" w:after="0"/>
        <w:jc w:val="both"/>
        <w:rPr>
          <w:sz w:val="22"/>
        </w:rPr>
      </w:pPr>
      <w:r>
        <w:rPr>
          <w:sz w:val="22"/>
        </w:rPr>
        <w:t>Dear Mr. Jackson:</w:t>
      </w:r>
    </w:p>
    <w:p>
      <w:pPr>
        <w:pStyle w:val="Normal"/>
        <w:bidi w:val="0"/>
        <w:spacing w:before="120" w:after="0"/>
        <w:ind w:firstLine="720"/>
        <w:jc w:val="both"/>
        <w:rPr>
          <w:sz w:val="22"/>
        </w:rPr>
      </w:pPr>
      <w:r>
        <w:rPr>
          <w:sz w:val="22"/>
        </w:rPr>
        <w:t>We are writing to notify you that a Triggering Event as defined in Section 6.1 and 6.3 of the    Master Option Purchase Agreement dated December 6, 1995 (the "MOPA") has occurred.</w:t>
      </w:r>
    </w:p>
    <w:p>
      <w:pPr>
        <w:pStyle w:val="Normal"/>
        <w:bidi w:val="0"/>
        <w:spacing w:before="120" w:after="0"/>
        <w:ind w:firstLine="720"/>
        <w:jc w:val="both"/>
        <w:rPr>
          <w:sz w:val="22"/>
        </w:rPr>
      </w:pPr>
      <w:r>
        <w:rPr>
          <w:sz w:val="22"/>
        </w:rPr>
        <w:t>On September 22, 1999, Enron Power Marketing, Inc. ("EMPI") submitted its invoice in writing to Tennessee Valley Authority ("TVA") in the amount of $6,185,812.53 pursuant to Section 8.2(a) of the MOPA for electricity delivered in July, 1999.    A copy of EMPI’s invoice is attached to this letter as Exh. "A".    Under Section 8.2(c), TVA had 60 days in which to provide EMPI written notice pursuant to Section 14.1 of the MOPA if it disputed any portion of that invoice.    TVA did not send such a notice to EMPI pursuant to Sections 8.2(c) and 14.1.    Accordingly, pursuant to Sections 8.2(a) and 8.2(c), TVA was obligated to pay the full amount of that undisputed invoice.    TVA did not, however, pay the full amount due under Article 8 of the MOPA, but instead tendered payment of $1,270,982.23.</w:t>
      </w:r>
    </w:p>
    <w:p>
      <w:pPr>
        <w:pStyle w:val="Normal"/>
        <w:bidi w:val="0"/>
        <w:spacing w:before="120" w:after="0"/>
        <w:ind w:firstLine="720"/>
        <w:jc w:val="both"/>
        <w:rPr>
          <w:sz w:val="22"/>
        </w:rPr>
      </w:pPr>
      <w:r>
        <w:rPr>
          <w:sz w:val="22"/>
        </w:rPr>
        <w:t>On November 29, 1999, EMPI notified TVA in writing that TVA had failed to make payments required under the MOPA.    A copy of the November 29, 1999 notice letter to TVA is attached to this letter as Exh. "B".    Despite this notice, TVA did not remedy its failure to make payment to EMPI of the amounts due under the September 22, 1999 invoice.</w:t>
      </w:r>
    </w:p>
    <w:p>
      <w:pPr>
        <w:pStyle w:val="Normal"/>
        <w:bidi w:val="0"/>
        <w:spacing w:before="120" w:after="0"/>
        <w:ind w:firstLine="720"/>
        <w:jc w:val="both"/>
        <w:rPr>
          <w:sz w:val="22"/>
        </w:rPr>
      </w:pPr>
      <w:r>
        <w:rPr>
          <w:sz w:val="22"/>
        </w:rPr>
        <w:t>Under Section 6.3(a) of the MOPA, a "Buyer Triggering Event" occurs if TVA fails "to make, when due, any payment required under this Agreement if that failure is not remedied on or before the 10</w:t>
      </w:r>
      <w:r>
        <w:rPr>
          <w:sz w:val="22"/>
          <w:vertAlign w:val="superscript"/>
        </w:rPr>
        <w:t>th</w:t>
      </w:r>
      <w:r>
        <w:rPr>
          <w:sz w:val="22"/>
        </w:rPr>
        <w:t xml:space="preserve"> Business Day after Seller [EMPI] notifies Buyer [TVA] of the failure, unless payment is the subject of a good-faith dispute as described in Section 8.2(c)."    Since TVA did not provide written notice of any dispute with EMPI’s September 22, 1999 invoice, that invoice is not "the subject of a good-faith dispute" under Section 8.2(c).    Accordingly, TVA’s failure to remedy the default within 10 Business Days of EMPI’s November 29</w:t>
      </w:r>
      <w:r>
        <w:rPr>
          <w:sz w:val="22"/>
          <w:vertAlign w:val="superscript"/>
        </w:rPr>
        <w:t>th</w:t>
      </w:r>
      <w:r>
        <w:rPr>
          <w:sz w:val="22"/>
        </w:rPr>
        <w:t xml:space="preserve"> notice is a Triggering Event as defined in Section 6.1 of the MOPA.</w:t>
      </w:r>
    </w:p>
    <w:p>
      <w:pPr>
        <w:pStyle w:val="Normal"/>
        <w:bidi w:val="0"/>
        <w:spacing w:before="120" w:after="0"/>
        <w:ind w:firstLine="720"/>
        <w:jc w:val="both"/>
        <w:rPr>
          <w:sz w:val="22"/>
        </w:rPr>
      </w:pPr>
      <w:r>
        <w:rPr>
          <w:sz w:val="22"/>
        </w:rPr>
        <w:t>Pursuant to Section 6.1(a) of the MOPA, EMPI has the right to terminate the agreement on not less than 10 Business Days’ notice.    EMPI is also authorized to immediately withhold payments due TVA and to suspend scheduling or deliveries of energy to TVA.</w:t>
      </w:r>
    </w:p>
    <w:p>
      <w:pPr>
        <w:pStyle w:val="Normal"/>
        <w:bidi w:val="0"/>
        <w:spacing w:before="120" w:after="0"/>
        <w:ind w:firstLine="720"/>
        <w:jc w:val="both"/>
        <w:rPr>
          <w:sz w:val="22"/>
        </w:rPr>
      </w:pPr>
      <w:r>
        <w:rPr>
          <w:sz w:val="22"/>
        </w:rPr>
        <w:t>While EMPI is empowered under the MOPA to terminate the agreement upon 10 Business Days' notice, it understands that TVA may wish to contest whether a Triggering Event has occurred.    In order to preserve EMPI’s rights under the agreement and avoid unnecessary disruption of TVA’s operations, EMPI proposes that the MOPA be modified to provide that the parties may seek a judicial declaration of their respective rights under Section 6.1.    Under this proposal, pending judicial determination of the parties’ rights, EMPI would not suspend deliveries of energy under the MOPA pursuant to Section 6.1(a)(iii) but would agree to make energy in the amounts, and at the times, specified under the MOPA available to TVA at market prices on terms to be agreed by the parties.    Within 10 Business Days after entry of a final, nonappealable declaration of the parties’ rights, EMPI would either then (1) terminate the MOPA if it is determined that a Triggering Event has occurred, or (2) reimburse TVA for the market prices (less the contract price) it paid EPMI for energy properly scheduled by TVA during the pendency of the suit.</w:t>
      </w:r>
    </w:p>
    <w:p>
      <w:pPr>
        <w:pStyle w:val="Normal"/>
        <w:bidi w:val="0"/>
        <w:spacing w:before="120" w:after="0"/>
        <w:ind w:firstLine="720"/>
        <w:jc w:val="both"/>
        <w:rPr>
          <w:sz w:val="22"/>
        </w:rPr>
      </w:pPr>
      <w:r>
        <w:rPr>
          <w:sz w:val="22"/>
        </w:rPr>
        <w:t>EMPI believes that this proposal will protect both parties’ interests pending resolution of any dispute regarding EMPI’s rights under Section 6.1(a).      In the event TVA is unwilling to accept this proposal, EMPI must consider whether to exercise its rights under Section 6.1 immediately.</w:t>
      </w:r>
    </w:p>
    <w:p>
      <w:pPr>
        <w:pStyle w:val="Normal"/>
        <w:bidi w:val="0"/>
        <w:spacing w:before="120" w:after="0"/>
        <w:ind w:firstLine="720"/>
        <w:jc w:val="both"/>
        <w:rPr>
          <w:sz w:val="22"/>
        </w:rPr>
      </w:pPr>
      <w:r>
        <w:rPr>
          <w:sz w:val="22"/>
        </w:rPr>
        <w:t>If TVA agrees to this proposal, please indicate by signing in the space provided below and returning a copy of this letter to me via telefax at (713) 646-3490.    If TVA believes that it remedied its failure to pay within the 10 Business Day limit provided under Section 6.3(a), please provide proof of such payment to me immediately.    If TVA believes that it gave EMPI written notice pursuant to Section 14 of a good-faith dispute within 60 days after delivery by EMPI of its September 22, 1999 invoice, please provide a copy of that written notice of dispute to me as soon as possible.</w:t>
      </w:r>
    </w:p>
    <w:p>
      <w:pPr>
        <w:pStyle w:val="Normal"/>
        <w:bidi w:val="0"/>
        <w:spacing w:before="120" w:after="0"/>
        <w:ind w:firstLine="720"/>
        <w:jc w:val="both"/>
        <w:rPr>
          <w:sz w:val="22"/>
        </w:rPr>
      </w:pPr>
      <w:r>
        <w:rPr>
          <w:sz w:val="22"/>
        </w:rPr>
        <w:t>Thank you for your prompt consideration of this matter.</w:t>
      </w:r>
    </w:p>
    <w:p>
      <w:pPr>
        <w:pStyle w:val="Normal"/>
        <w:bidi w:val="0"/>
        <w:spacing w:before="240" w:after="0"/>
        <w:ind w:hanging="0" w:start="4320"/>
        <w:jc w:val="both"/>
        <w:rPr>
          <w:sz w:val="22"/>
        </w:rPr>
      </w:pPr>
      <w:r>
        <w:rPr>
          <w:sz w:val="22"/>
        </w:rPr>
        <w:t>Very truly yours,</w:t>
      </w:r>
    </w:p>
    <w:p>
      <w:pPr>
        <w:pStyle w:val="Heading2"/>
        <w:bidi w:val="0"/>
        <w:rPr>
          <w:rFonts w:ascii="Times New Roman" w:hAnsi="Times New Roman"/>
          <w:sz w:val="22"/>
        </w:rPr>
      </w:pPr>
      <w:r>
        <w:rPr>
          <w:sz w:val="22"/>
        </w:rPr>
        <w:t>James B. Fallon</w:t>
      </w:r>
    </w:p>
    <w:p>
      <w:pPr>
        <w:pStyle w:val="Normal"/>
        <w:bidi w:val="0"/>
        <w:ind w:hanging="0" w:start="4320"/>
        <w:jc w:val="both"/>
        <w:rPr>
          <w:sz w:val="22"/>
        </w:rPr>
      </w:pPr>
      <w:r>
        <w:rPr>
          <w:sz w:val="22"/>
        </w:rPr>
        <w:t>Vice President</w:t>
      </w:r>
    </w:p>
    <w:p>
      <w:pPr>
        <w:pStyle w:val="Heading3"/>
        <w:bidi w:val="0"/>
        <w:rPr>
          <w:rFonts w:ascii="Times New Roman" w:hAnsi="Times New Roman"/>
          <w:b/>
        </w:rPr>
      </w:pPr>
      <w:r>
        <w:rPr>
          <w:b/>
        </w:rPr>
        <w:t>Tennessee Valley Authority</w:t>
      </w:r>
    </w:p>
    <w:p>
      <w:pPr>
        <w:pStyle w:val="Normal"/>
        <w:tabs>
          <w:tab w:val="clear" w:pos="720"/>
          <w:tab w:val="left" w:pos="4140" w:leader="none"/>
        </w:tabs>
        <w:bidi w:val="0"/>
        <w:spacing w:before="600" w:after="0"/>
        <w:jc w:val="both"/>
        <w:rPr>
          <w:sz w:val="22"/>
        </w:rPr>
      </w:pPr>
      <w:r>
        <w:rPr>
          <w:sz w:val="22"/>
        </w:rPr>
        <w:t xml:space="preserve">By:    </w:t>
      </w:r>
      <w:r>
        <w:rPr>
          <w:sz w:val="22"/>
          <w:u w:val="single"/>
        </w:rPr>
        <w:tab/>
      </w:r>
    </w:p>
    <w:p>
      <w:pPr>
        <w:pStyle w:val="Normal"/>
        <w:tabs>
          <w:tab w:val="clear" w:pos="720"/>
          <w:tab w:val="left" w:pos="4140" w:leader="none"/>
        </w:tabs>
        <w:bidi w:val="0"/>
        <w:jc w:val="both"/>
        <w:rPr>
          <w:sz w:val="22"/>
        </w:rPr>
      </w:pPr>
      <w:r>
        <w:rPr>
          <w:sz w:val="22"/>
        </w:rPr>
        <w:t xml:space="preserve">Name:    </w:t>
      </w:r>
      <w:r>
        <w:rPr>
          <w:sz w:val="22"/>
          <w:u w:val="single"/>
        </w:rPr>
        <w:tab/>
      </w:r>
    </w:p>
    <w:p>
      <w:pPr>
        <w:pStyle w:val="Normal"/>
        <w:tabs>
          <w:tab w:val="clear" w:pos="720"/>
          <w:tab w:val="left" w:pos="4140" w:leader="none"/>
        </w:tabs>
        <w:bidi w:val="0"/>
        <w:jc w:val="both"/>
        <w:rPr>
          <w:sz w:val="22"/>
          <w:u w:val="single"/>
        </w:rPr>
      </w:pPr>
      <w:r>
        <w:rPr>
          <w:sz w:val="22"/>
        </w:rPr>
        <w:t xml:space="preserve">Title:    </w:t>
      </w:r>
      <w:r>
        <w:rPr>
          <w:sz w:val="22"/>
          <w:u w:val="single"/>
        </w:rPr>
        <w:tab/>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240" w:after="0"/>
      <w:jc w:val="start"/>
      <w:rPr>
        <w:rFonts w:ascii="Times New Roman" w:hAnsi="Times New Roman"/>
        <w:sz w:val="12"/>
      </w:rPr>
    </w:pPr>
    <w:r>
      <w:rPr>
        <w:sz w:val="12"/>
        <w:lang w:val="en-CA"/>
      </w:rPr>
      <w:fldChar w:fldCharType="begin"/>
    </w:r>
    <w:r>
      <w:rPr>
        <w:sz w:val="12"/>
        <w:lang w:val="en-CA"/>
      </w:rPr>
      <w:instrText xml:space="preserve"> FILENAME \p </w:instrText>
    </w:r>
    <w:r>
      <w:rPr>
        <w:sz w:val="12"/>
        <w:lang w:val="en-CA"/>
      </w:rPr>
      <w:fldChar w:fldCharType="separate"/>
    </w:r>
    <w:r>
      <w:rPr>
        <w:sz w:val="12"/>
        <w:lang w:val="en-CA"/>
      </w:rPr>
      <w:t>/mnt/main-storage/datasets/enron-docs/doc/TVA1-9de0f7da78227ab2fad83e674603b1219d6dd5455f7c71794b3a6f19c2807bb5.doc</w:t>
    </w:r>
    <w:r>
      <w:rPr>
        <w:sz w:val="12"/>
        <w:lang w:val="en-CA"/>
      </w:rPr>
      <w:fldChar w:fldCharType="end"/>
    </w:r>
  </w:p>
  <w:p>
    <w:pPr>
      <w:pStyle w:val="Footer"/>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before="240" w:after="0"/>
      <w:jc w:val="start"/>
      <w:rPr>
        <w:rFonts w:ascii="Times New Roman" w:hAnsi="Times New Roman"/>
        <w:sz w:val="12"/>
      </w:rPr>
    </w:pPr>
    <w:r>
      <w:rPr>
        <w:sz w:val="12"/>
        <w:lang w:val="en-CA"/>
      </w:rPr>
      <w:fldChar w:fldCharType="begin"/>
    </w:r>
    <w:r>
      <w:rPr>
        <w:sz w:val="12"/>
        <w:lang w:val="en-CA"/>
      </w:rPr>
      <w:instrText xml:space="preserve"> FILENAME \p </w:instrText>
    </w:r>
    <w:r>
      <w:rPr>
        <w:sz w:val="12"/>
        <w:lang w:val="en-CA"/>
      </w:rPr>
      <w:fldChar w:fldCharType="separate"/>
    </w:r>
    <w:r>
      <w:rPr>
        <w:sz w:val="12"/>
        <w:lang w:val="en-CA"/>
      </w:rPr>
      <w:t>/mnt/main-storage/datasets/enron-docs/doc/TVA1-9de0f7da78227ab2fad83e674603b1219d6dd5455f7c71794b3a6f19c2807bb5.doc</w:t>
    </w:r>
    <w:r>
      <w:rPr>
        <w:sz w:val="12"/>
        <w:lang w:val="en-CA"/>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2"/>
      </w:rPr>
    </w:pPr>
    <w:r>
      <w:rPr>
        <w:sz w:val="22"/>
      </w:rPr>
      <w:t>Tennessee Valley Authority</w:t>
    </w:r>
  </w:p>
  <w:p>
    <w:pPr>
      <w:pStyle w:val="Header"/>
      <w:bidi w:val="0"/>
      <w:jc w:val="start"/>
      <w:rPr>
        <w:rFonts w:ascii="Times New Roman" w:hAnsi="Times New Roman"/>
        <w:sz w:val="22"/>
      </w:rPr>
    </w:pPr>
    <w:r>
      <w:rPr>
        <w:sz w:val="22"/>
        <w:lang w:val="en-CA"/>
      </w:rPr>
      <w:fldChar w:fldCharType="begin"/>
    </w:r>
    <w:r>
      <w:rPr>
        <w:sz w:val="22"/>
        <w:lang w:val="en-CA"/>
      </w:rPr>
      <w:instrText xml:space="preserve"> TIME \@"MMMM\ d', 'yyyy" </w:instrText>
    </w:r>
    <w:r>
      <w:rPr>
        <w:sz w:val="22"/>
        <w:lang w:val="en-CA"/>
      </w:rPr>
      <w:fldChar w:fldCharType="separate"/>
    </w:r>
    <w:r>
      <w:rPr>
        <w:sz w:val="22"/>
        <w:lang w:val="en-CA"/>
      </w:rPr>
      <w:t>September 28, 2025</w:t>
    </w:r>
    <w:r>
      <w:rPr>
        <w:sz w:val="22"/>
        <w:lang w:val="en-CA"/>
      </w:rPr>
      <w:fldChar w:fldCharType="end"/>
    </w:r>
  </w:p>
  <w:p>
    <w:pPr>
      <w:pStyle w:val="Header"/>
      <w:bidi w:val="0"/>
      <w:jc w:val="start"/>
      <w:rPr>
        <w:rStyle w:val="PageNumber"/>
        <w:rFonts w:ascii="Times New Roman" w:hAnsi="Times New Roman"/>
        <w:sz w:val="22"/>
      </w:rPr>
    </w:pPr>
    <w:r>
      <w:rPr>
        <w:sz w:val="22"/>
      </w:rPr>
      <w:t xml:space="preserve">Page </w:t>
    </w:r>
    <w:r>
      <w:rPr>
        <w:rStyle w:val="PageNumber"/>
        <w:sz w:val="22"/>
        <w:lang w:val="en-CA"/>
      </w:rPr>
      <w:fldChar w:fldCharType="begin"/>
    </w:r>
    <w:r>
      <w:rPr>
        <w:rStyle w:val="PageNumber"/>
        <w:sz w:val="22"/>
        <w:lang w:val="en-CA"/>
      </w:rPr>
      <w:instrText xml:space="preserve"> PAGE </w:instrText>
    </w:r>
    <w:r>
      <w:rPr>
        <w:rStyle w:val="PageNumber"/>
        <w:sz w:val="22"/>
        <w:lang w:val="en-CA"/>
      </w:rPr>
      <w:fldChar w:fldCharType="separate"/>
    </w:r>
    <w:r>
      <w:rPr>
        <w:rStyle w:val="PageNumber"/>
        <w:sz w:val="22"/>
        <w:lang w:val="en-CA"/>
      </w:rPr>
      <w:t>2</w:t>
    </w:r>
    <w:r>
      <w:rPr>
        <w:rStyle w:val="PageNumber"/>
        <w:sz w:val="22"/>
        <w:lang w:val="en-CA"/>
      </w:rPr>
      <w:fldChar w:fldCharType="end"/>
    </w:r>
  </w:p>
  <w:p>
    <w:pPr>
      <w:pStyle w:val="Header"/>
      <w:bidi w:val="0"/>
      <w:jc w:val="start"/>
      <w:rPr>
        <w:rStyle w:val="PageNumber"/>
        <w:rFonts w:ascii="Times New Roman" w:hAnsi="Times New Roman"/>
        <w:sz w:val="22"/>
      </w:rPr>
    </w:pPr>
    <w:r>
      <w:rPr>
        <w:sz w:val="22"/>
      </w:rPr>
    </w:r>
  </w:p>
  <w:p>
    <w:pPr>
      <w:pStyle w:val="Header"/>
      <w:bidi w:val="0"/>
      <w:jc w:val="start"/>
      <w:rPr>
        <w:rStyle w:val="PageNumber"/>
        <w:rFonts w:ascii="Times New Roman" w:hAnsi="Times New Roman"/>
        <w:sz w:val="22"/>
      </w:rPr>
    </w:pPr>
    <w:r>
      <w:rPr>
        <w:sz w:val="22"/>
      </w:rPr>
    </w:r>
  </w:p>
  <w:p>
    <w:pPr>
      <w:pStyle w:val="Header"/>
      <w:bidi w:val="0"/>
      <w:jc w:val="start"/>
      <w:rPr>
        <w:rFonts w:ascii="Times New Roman" w:hAnsi="Times New Roman"/>
        <w:sz w:val="22"/>
      </w:rPr>
    </w:pPr>
    <w:r>
      <w:rPr>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settings.xml><?xml version="1.0" encoding="utf-8"?>
<w:settings xmlns:w="http://schemas.openxmlformats.org/wordprocessingml/2006/main">
  <w:zoom w:percent="8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0"/>
      <w:szCs w:val="24"/>
      <w:lang w:val="en-CA" w:eastAsia="zh-CN" w:bidi="hi-IN"/>
    </w:rPr>
  </w:style>
  <w:style w:type="paragraph" w:styleId="Heading1">
    <w:name w:val="heading 1"/>
    <w:basedOn w:val="Normal"/>
    <w:next w:val="Normal"/>
    <w:qFormat/>
    <w:pPr>
      <w:keepNext w:val="true"/>
      <w:widowControl w:val="false"/>
      <w:spacing w:before="720" w:after="0"/>
      <w:jc w:val="both"/>
      <w:outlineLvl w:val="0"/>
    </w:pPr>
    <w:rPr>
      <w:b/>
      <w:u w:val="single"/>
    </w:rPr>
  </w:style>
  <w:style w:type="paragraph" w:styleId="Heading2">
    <w:name w:val="heading 2"/>
    <w:basedOn w:val="Normal"/>
    <w:next w:val="Normal"/>
    <w:qFormat/>
    <w:pPr>
      <w:keepNext w:val="true"/>
      <w:widowControl w:val="false"/>
      <w:spacing w:before="720" w:after="0"/>
      <w:ind w:hanging="0" w:start="4320"/>
      <w:jc w:val="both"/>
      <w:outlineLvl w:val="1"/>
    </w:pPr>
    <w:rPr/>
  </w:style>
  <w:style w:type="paragraph" w:styleId="Heading3">
    <w:name w:val="heading 3"/>
    <w:basedOn w:val="Normal"/>
    <w:next w:val="Normal"/>
    <w:qFormat/>
    <w:pPr>
      <w:keepNext w:val="true"/>
      <w:widowControl w:val="false"/>
      <w:spacing w:before="120" w:after="0"/>
      <w:jc w:val="both"/>
      <w:outlineLvl w:val="2"/>
    </w:pPr>
    <w:rPr>
      <w:smallCaps/>
      <w:sz w:val="22"/>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pPr>
    <w:rPr>
      <w:sz w:val="22"/>
    </w:rPr>
  </w:style>
  <w:style w:type="paragraph" w:styleId="BodyText2">
    <w:name w:val="Body Text 2"/>
    <w:basedOn w:val="Normal"/>
    <w:qFormat/>
    <w:pPr>
      <w:widowControl w:val="false"/>
      <w:spacing w:before="240" w:after="0"/>
      <w:ind w:hanging="540" w:start="1260"/>
      <w:jc w:val="both"/>
    </w:pPr>
    <w:rPr/>
  </w:style>
  <w:style w:type="paragraph" w:styleId="Header">
    <w:name w:val="header"/>
    <w:basedOn w:val="Normal"/>
    <w:pPr>
      <w:widowControl w:val="false"/>
      <w:tabs>
        <w:tab w:val="clear" w:pos="720"/>
        <w:tab w:val="center" w:pos="4320" w:leader="none"/>
        <w:tab w:val="right" w:pos="8640" w:leader="none"/>
      </w:tabs>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614</Words>
  <Characters>0</Characters>
  <CharactersWithSpaces>3505</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2000-01-04T10:11:00Z</dcterms:created>
  <dc:creator>Brenda Whitehead</dc:creator>
  <dc:description/>
  <dc:language>en-CA</dc:language>
  <cp:lastModifiedBy/>
  <cp:lastPrinted>2000-01-04T13:45:00Z</cp:lastPrinted>
  <dcterms:modified xsi:type="dcterms:W3CDTF">2000-01-04T13:46:00Z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Brenda Whitehead</vt:lpwstr>
  </property>
</Properties>
</file>